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A6" w:rsidRPr="000F69A6" w:rsidRDefault="000F69A6" w:rsidP="000F69A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Бюджетное учреждение здравоохранения Омской области</w:t>
      </w:r>
    </w:p>
    <w:p w:rsidR="000F69A6" w:rsidRPr="000F69A6" w:rsidRDefault="000F69A6" w:rsidP="000F69A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«Тарская центральная районная больница»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№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51</w:t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right="424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«30»декабря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</w:t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</w:t>
      </w:r>
      <w:proofErr w:type="gramStart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</w:t>
      </w:r>
      <w:proofErr w:type="gramEnd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right="424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right="424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right="424"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учетной политики учреждения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right="424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right="424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0F69A6" w:rsidRPr="000F69A6" w:rsidRDefault="000F69A6" w:rsidP="000F69A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dfasl86ahy"/>
      <w:bookmarkEnd w:id="0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 исполнение Закона от 06.12.2011 № 402-ФЗ, приказа Минфина от 01.12.2010 № 157н, Федерального стандарта «Учетная политика, оценочные значения и ошибки», утвержденного  приказом Минфина от 30.12.2017 № 274н</w:t>
      </w:r>
    </w:p>
    <w:p w:rsidR="000F69A6" w:rsidRPr="000F69A6" w:rsidRDefault="000F69A6" w:rsidP="000F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dfasui8khx"/>
      <w:bookmarkStart w:id="2" w:name="dfasdxakxx"/>
      <w:bookmarkEnd w:id="1"/>
      <w:bookmarkEnd w:id="2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0F69A6" w:rsidRPr="000F69A6" w:rsidRDefault="000F69A6" w:rsidP="000F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dfas35nwpd"/>
      <w:bookmarkEnd w:id="3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ПРИКАЗЫВАЮ:</w:t>
      </w:r>
    </w:p>
    <w:p w:rsidR="000F69A6" w:rsidRPr="000F69A6" w:rsidRDefault="000F69A6" w:rsidP="000F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dfaseo3hnk"/>
      <w:bookmarkEnd w:id="4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3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5" w:name="dfasloes2a"/>
      <w:bookmarkStart w:id="6" w:name="dfasz8g4t6"/>
      <w:bookmarkEnd w:id="5"/>
      <w:bookmarkEnd w:id="6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 Утвердить учетную политику для целей бухгалтерского учета согласно приложению и ввести ее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действие с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 января 2023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3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 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3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 Опубликовать основные положения учетной политики на официальном сайте учреждения.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3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4. Признать утратившим силу приказ от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30.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12.20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237/5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«Об утверждении учетной политики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0F69A6" w:rsidRPr="000F69A6" w:rsidRDefault="000F69A6" w:rsidP="000F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настоящего Приказа возложить на </w:t>
      </w:r>
      <w:r w:rsidRPr="000F69A6">
        <w:rPr>
          <w:rFonts w:ascii="Times New Roman" w:eastAsia="Times New Roman" w:hAnsi="Times New Roman" w:cs="Times New Roman"/>
          <w:bCs/>
          <w:iCs/>
          <w:color w:val="000000"/>
          <w:sz w:val="28"/>
          <w:lang w:val="ru-RU" w:eastAsia="ru-RU"/>
        </w:rPr>
        <w:t>главного бухгалтера М.Г. Елисеева</w:t>
      </w:r>
      <w:r w:rsidRPr="000F6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F69A6" w:rsidRPr="000F69A6" w:rsidRDefault="000F69A6" w:rsidP="000F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dfasxs29ex"/>
      <w:bookmarkEnd w:id="7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0F69A6" w:rsidRPr="000F69A6" w:rsidRDefault="000F69A6" w:rsidP="000F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dfasl5uhub"/>
      <w:bookmarkEnd w:id="8"/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F69A6" w:rsidRPr="000F69A6" w:rsidRDefault="000F69A6" w:rsidP="000F69A6">
      <w:pPr>
        <w:spacing w:before="0" w:beforeAutospacing="0" w:after="0" w:afterAutospacing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Главный врач                                                                 А.В. Мироненко</w:t>
      </w:r>
    </w:p>
    <w:p w:rsidR="000F69A6" w:rsidRPr="000F69A6" w:rsidRDefault="000F69A6" w:rsidP="000F69A6">
      <w:pPr>
        <w:spacing w:before="0" w:beforeAutospacing="0" w:after="0" w:afterAutospacing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F69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2C5AF6" w:rsidRDefault="000F69A6" w:rsidP="00A70D9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Приложение </w:t>
      </w:r>
    </w:p>
    <w:p w:rsidR="000F69A6" w:rsidRDefault="000F69A6" w:rsidP="00A70D9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 приказу №25</w:t>
      </w:r>
      <w:r w:rsidR="00A70D95">
        <w:rPr>
          <w:rFonts w:hAnsi="Times New Roman" w:cs="Times New Roman"/>
          <w:color w:val="000000"/>
          <w:sz w:val="28"/>
          <w:szCs w:val="28"/>
          <w:lang w:val="ru-RU"/>
        </w:rPr>
        <w:t>1/1 от 30.12.2022г.</w:t>
      </w:r>
    </w:p>
    <w:p w:rsidR="000F69A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Default="000F69A6" w:rsidP="00A70D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Учетная политика для целей бухгалтерского учета</w:t>
      </w:r>
    </w:p>
    <w:p w:rsidR="00A70D95" w:rsidRPr="000F69A6" w:rsidRDefault="00A70D95" w:rsidP="00A70D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Учетная политика </w:t>
      </w:r>
      <w:r w:rsidR="00A70D95">
        <w:rPr>
          <w:rFonts w:hAnsi="Times New Roman" w:cs="Times New Roman"/>
          <w:color w:val="000000"/>
          <w:sz w:val="28"/>
          <w:szCs w:val="28"/>
          <w:lang w:val="ru-RU"/>
        </w:rPr>
        <w:t>БУЗОО «Тарская ЦРБ»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разработана в соответствии:</w:t>
      </w:r>
    </w:p>
    <w:p w:rsidR="002C5AF6" w:rsidRPr="000F69A6" w:rsidRDefault="000F69A6" w:rsidP="000F69A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 Инструкцией к Единому плану счетов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(муниципальных) учреждений и Инструкции по его применению» </w:t>
      </w:r>
      <w:r w:rsidRPr="000F69A6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далее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к</w:t>
      </w:r>
      <w:r w:rsidR="00A70D9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Единому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0D95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счетов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№ 157н);</w:t>
      </w:r>
    </w:p>
    <w:p w:rsidR="002C5AF6" w:rsidRPr="000F69A6" w:rsidRDefault="000F69A6" w:rsidP="000F69A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приказом Минфина от 16.12.2010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174н «Об утверждении Плана счетов бухгалтерского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учета бюджетных учреждений и Инструкции по его применению» </w:t>
      </w:r>
      <w:r w:rsidRPr="000F69A6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№ 174н);</w:t>
      </w:r>
    </w:p>
    <w:p w:rsidR="002C5AF6" w:rsidRPr="000F69A6" w:rsidRDefault="000F69A6" w:rsidP="000F69A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2C5AF6" w:rsidRPr="000F69A6" w:rsidRDefault="000F69A6" w:rsidP="000F69A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Минфина от 29.11.2017 № 209н «Об утверждении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Порядка применения классификации операций сектора государственного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управления»</w:t>
      </w:r>
      <w:r w:rsidR="00A70D9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(далее – приказ № 209н);</w:t>
      </w:r>
    </w:p>
    <w:p w:rsidR="002C5AF6" w:rsidRPr="000F69A6" w:rsidRDefault="000F69A6" w:rsidP="000F69A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0F69A6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далее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приказ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№ 52н);</w:t>
      </w:r>
    </w:p>
    <w:p w:rsidR="002C5AF6" w:rsidRPr="000F69A6" w:rsidRDefault="000F69A6" w:rsidP="000F69A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 w:rsidRPr="000F69A6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далее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приказ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№ 61н);</w:t>
      </w:r>
    </w:p>
    <w:p w:rsidR="002C5AF6" w:rsidRPr="000F69A6" w:rsidRDefault="000F69A6" w:rsidP="000F69A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федеральными стандартами бухгалтерского учета государственных финансов, утвержденными приказами Минфина от 31.12.2016 №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связанных сторонах», СГС «Отчет о движении денежных средств»), от 27.02.2018 № 32н (далее – СГС «Доходы»), от 28.02.2018 № 34н (далее – СГС «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Затраты по заимствованиям», СГС «Совместная деятельность», СГС «Выплаты персоналу»), от 30.06.2020 № 129н (далее – СГС «Финансовые инструменты»).</w:t>
      </w:r>
      <w:proofErr w:type="gramEnd"/>
    </w:p>
    <w:p w:rsidR="002C5AF6" w:rsidRPr="000F69A6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части исполнения полномочий получателя бюджетных средств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Учреждение ведет учет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соответствии с приказом Минфина от 06.12.2010 №162н «Об утверждении плана счетов бюджетного учета и Инструкции по его применению» </w:t>
      </w:r>
      <w:r w:rsidRPr="000F69A6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№ 162н).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Используемые термины и 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4"/>
        <w:gridCol w:w="7481"/>
      </w:tblGrid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Расшифровка </w:t>
            </w:r>
          </w:p>
        </w:tc>
      </w:tr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A70D95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БУЗОО 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Тарская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ЦРБ»</w:t>
            </w:r>
          </w:p>
        </w:tc>
      </w:tr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1–17-е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разряды номера счета в соответствии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Рабочим планом счетов</w:t>
            </w:r>
          </w:p>
        </w:tc>
      </w:tr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D5E" w:rsidRDefault="000F69A6" w:rsidP="000F69A6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зависимости от того, в каком разряде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номера счета бухучета стоит обозначение:</w:t>
            </w:r>
          </w:p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18-й разряд – код вида финансового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обеспечения (деятельности);</w:t>
            </w:r>
            <w:r w:rsidRPr="000F69A6">
              <w:rPr>
                <w:sz w:val="28"/>
                <w:szCs w:val="28"/>
                <w:lang w:val="ru-RU"/>
              </w:rPr>
              <w:br/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24-26-е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разряды – соответствующая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подстатья КОСГУ</w:t>
            </w:r>
          </w:p>
        </w:tc>
      </w:tr>
      <w:tr w:rsidR="002C5AF6" w:rsidRPr="000F69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2C5AF6" w:rsidP="000F69A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2C5AF6" w:rsidP="000F69A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C5AF6" w:rsidRPr="000F69A6" w:rsidRDefault="000F69A6" w:rsidP="00912D5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t>I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:rsidR="002C5AF6" w:rsidRPr="000F69A6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 Бухгалтерский учет ведет структурное подразделение – бухгалтерия, возглавляемая главным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бухгалтером. Сотрудники бухгалтерии руководствуются в работе Положением о бухгалтерии,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должностными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инструкциями.</w:t>
      </w:r>
      <w:r w:rsidR="00912D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Ответственным за ведение бухгалтерского учета в учреждении является главный бухгалтер.</w:t>
      </w:r>
      <w:r w:rsidR="00912D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часть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 статьи 7 Закона от 06.12.2011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402-ФЗ, пункт 4 Инструкции к Единому плану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счетов № 157н.</w:t>
      </w:r>
    </w:p>
    <w:p w:rsidR="002C5AF6" w:rsidRPr="000F69A6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 Бухгалтерский учет в обособленных подразделениях учреждения, имеющих лицевые счета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территориальных органах Федерального казначейства, ведут бухгалтерии этих подразделений.</w:t>
      </w:r>
    </w:p>
    <w:p w:rsidR="00912D5E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 В учреждении действуют постоянные комиссии:</w:t>
      </w:r>
    </w:p>
    <w:p w:rsidR="00912D5E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комиссия по поступлению и выбытию активов;</w:t>
      </w:r>
    </w:p>
    <w:p w:rsidR="00912D5E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инвентаризационная комиссия;</w:t>
      </w:r>
    </w:p>
    <w:p w:rsidR="00912D5E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комиссия по проверке показаний одометров автотранспорта;</w:t>
      </w:r>
    </w:p>
    <w:p w:rsidR="002C5AF6" w:rsidRPr="000F69A6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комиссия для проведения внезапной ревизии кассы.</w:t>
      </w:r>
    </w:p>
    <w:p w:rsidR="002C5AF6" w:rsidRPr="000F69A6" w:rsidRDefault="000F69A6" w:rsidP="00912D5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  <w:r w:rsidR="00912D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9 СГС «Учетная политика, оценочные значения и ошибки».</w:t>
      </w:r>
    </w:p>
    <w:p w:rsidR="002C5AF6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положение, финансовые результаты деятельности учреждения и движение его денежных средств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основе своего профессионального суждения. Также на основе профессионального суждения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оценивается существенность ошибок отчетного периода, выявленных после утверждения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отчетности, в целях принятия решения о раскрытии в Пояснениях к отчетности информации 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существенных ошибках.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17, 20, 32 СГС «Учетная политика, оценочные значения и ошибки».</w:t>
      </w:r>
    </w:p>
    <w:p w:rsidR="008476D8" w:rsidRPr="000F69A6" w:rsidRDefault="008476D8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8476D8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t>II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Технология</w:t>
      </w:r>
      <w:r w:rsidR="008476D8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обработки учетной информации</w:t>
      </w:r>
    </w:p>
    <w:p w:rsidR="002C5AF6" w:rsidRPr="000F69A6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 Бухгалтерский учет ведется в электронном виде с применением программных продуктов «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 xml:space="preserve">1С: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Бухгалтерия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 xml:space="preserve"> государственного учреждения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», Зарплата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 xml:space="preserve"> «Парус-Бюджет 7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».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6 Инструкции к Единому плану счетов № 157н.</w:t>
      </w:r>
    </w:p>
    <w:p w:rsidR="002C5AF6" w:rsidRPr="000F69A6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 С использованием телекоммуникационных каналов связи и электронной подписи бухгалтерия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учреждения осуществляет электронный документооборот по следующим направлениям:</w:t>
      </w:r>
    </w:p>
    <w:p w:rsidR="002C5AF6" w:rsidRPr="000F69A6" w:rsidRDefault="000F69A6" w:rsidP="000F69A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система электронного документооборота с территориальным органом Федерального казначейства;</w:t>
      </w:r>
    </w:p>
    <w:p w:rsidR="002C5AF6" w:rsidRPr="000F69A6" w:rsidRDefault="000F69A6" w:rsidP="000F69A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передача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бухгалтерской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отчетности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учредителю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0F69A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передача отчетности по налогам, сборам и иным обязательным платежам в инспекцию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Федеральной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налоговой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службы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0F69A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передача отчетности в отделение Фонда пенсионного и социального страхования;</w:t>
      </w:r>
    </w:p>
    <w:p w:rsidR="002C5AF6" w:rsidRPr="000F69A6" w:rsidRDefault="000F69A6" w:rsidP="000F69A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размещение информации о деятельности учреждения на официальном сайте </w:t>
      </w:r>
      <w:r w:rsidRPr="000F69A6">
        <w:rPr>
          <w:rFonts w:hAnsi="Times New Roman" w:cs="Times New Roman"/>
          <w:color w:val="000000"/>
          <w:sz w:val="28"/>
          <w:szCs w:val="28"/>
        </w:rPr>
        <w:t>bus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gov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C5AF6" w:rsidRPr="008476D8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Обмен электронными первичными документами внутри учреждения осуществляется с использованием бухгалтерской программы «1С: Бухгалтерия государственного учреждения 8». Сдача бухгалтерской (финансовой) отчетности — в ГИИС «Электронный бюджет»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>, «</w:t>
      </w:r>
      <w:r w:rsidR="008476D8">
        <w:rPr>
          <w:rFonts w:hAnsi="Times New Roman" w:cs="Times New Roman"/>
          <w:color w:val="000000"/>
          <w:sz w:val="28"/>
          <w:szCs w:val="28"/>
        </w:rPr>
        <w:t>WEB</w:t>
      </w:r>
      <w:r w:rsidR="008476D8" w:rsidRPr="008476D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>консолидация», «Региональная информационная система мониторинга».</w:t>
      </w:r>
    </w:p>
    <w:p w:rsidR="002C5AF6" w:rsidRPr="000F69A6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—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СУФД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0F69A6">
        <w:rPr>
          <w:rFonts w:hAnsi="Times New Roman" w:cs="Times New Roman"/>
          <w:color w:val="000000"/>
          <w:sz w:val="28"/>
          <w:szCs w:val="28"/>
        </w:rPr>
        <w:t>online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 Без надлежащего оформления первичных (сводных) учетных документов любые исправления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(добавление новых записей) в электронных базах данных не допускаются.</w:t>
      </w:r>
    </w:p>
    <w:p w:rsidR="002C5AF6" w:rsidRPr="000F69A6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4. В целях обеспечения сохранности электронных данных бухгалтерского учета и отчетности:</w:t>
      </w:r>
    </w:p>
    <w:p w:rsidR="002C5AF6" w:rsidRPr="000F69A6" w:rsidRDefault="000F69A6" w:rsidP="000F69A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сервере ежедневно производится сохранение резервных копий базы «Бухгалтерия», еженедельно – «Зарплата»;</w:t>
      </w:r>
    </w:p>
    <w:p w:rsidR="002C5AF6" w:rsidRPr="000F69A6" w:rsidRDefault="000F69A6" w:rsidP="000F69A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по итогам квартала и отчетного года после сдачи отчетности производится запись копии базы данных на внешний носитель –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флеш-карту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, которая хранится в сейфе главного бухгалтера;</w:t>
      </w:r>
    </w:p>
    <w:p w:rsidR="002C5AF6" w:rsidRPr="000F69A6" w:rsidRDefault="000F69A6" w:rsidP="000F69A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папки в хронологическом порядке.</w:t>
      </w:r>
    </w:p>
    <w:p w:rsidR="002C5AF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19 Инструкции к Единому плану счетов № 157н, пункт 33 СГС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«Концептуальные основы бухучета и отчетности».</w:t>
      </w:r>
    </w:p>
    <w:p w:rsidR="008476D8" w:rsidRPr="000F69A6" w:rsidRDefault="008476D8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8476D8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t>III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Правила документооборота</w:t>
      </w:r>
    </w:p>
    <w:p w:rsidR="002C5AF6" w:rsidRPr="000F69A6" w:rsidRDefault="000F69A6" w:rsidP="008476D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1. Порядок и сроки передачи первичных учетных документов для отражения в бухгалтерском учете установлены в графике документооборота </w:t>
      </w:r>
      <w:r w:rsidRPr="007F1520">
        <w:rPr>
          <w:rFonts w:hAnsi="Times New Roman" w:cs="Times New Roman"/>
          <w:color w:val="000000"/>
          <w:sz w:val="28"/>
          <w:szCs w:val="28"/>
          <w:lang w:val="ru-RU"/>
        </w:rPr>
        <w:t xml:space="preserve">(приложение </w:t>
      </w:r>
      <w:r w:rsidR="007F1520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 настоящей учетной политике).</w:t>
      </w:r>
      <w:r w:rsidR="008476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22 СГС «Концептуальные основы бухучета и отчетности», подпункт «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» пункта 9 СГС «Учетная политика, оценочные значения и ошибки».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2C5AF6" w:rsidRPr="000F69A6" w:rsidRDefault="000F69A6" w:rsidP="000F69A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разработанные формы;</w:t>
      </w:r>
    </w:p>
    <w:p w:rsidR="002C5AF6" w:rsidRPr="000F69A6" w:rsidRDefault="000F69A6" w:rsidP="000F69A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унифицированные формы, дополненные необходимыми реквизитами.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25–26 СГС «Концептуальные основы бухучета и отчетности» », подпункт «г»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пункта 9 СГС «Учетная политика, оценочные значения и ошибки».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3. Право подписи учетных документов предоставлено сотрудникам, занимающим должности, перечисленные в </w:t>
      </w:r>
      <w:r w:rsidRPr="007F1520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</w:t>
      </w:r>
      <w:r w:rsidR="007F1520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Пофамильный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список сотрудников, имеющих право подписи, утверждается отдельным приказом главного врача.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11 Инструкции к Единому плану счетов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157н.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4. К учету принимаются документы о приемке, универсальный передаточный документ или счет-фактура от контрагентов (поставщиков, исполнителей, подрядчиков), оформленные в электронном виде и подписанные ЭЦП в ЕИС «Закупки». Правом подписи указанных документов обладают сотрудники, перечень которых утверждается приказом главного врача.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 Учреждение применяет с 1 января 2023 года электронные формы первичных документов и регистров бухучета, обязательные к применению по приказу Минфина от 28.06.2022 № 100н с 1 января 2024 года:</w:t>
      </w:r>
    </w:p>
    <w:p w:rsidR="002C5AF6" w:rsidRPr="000F69A6" w:rsidRDefault="000F69A6" w:rsidP="000F69A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 о приеме-передаче объектов нефинансовых активов (ф. 0510448);</w:t>
      </w:r>
    </w:p>
    <w:p w:rsidR="002C5AF6" w:rsidRPr="000F69A6" w:rsidRDefault="000F69A6" w:rsidP="000F69A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Накладная на внутреннее перемещение объектов нефинансовых активов (ф. 0510450);</w:t>
      </w:r>
    </w:p>
    <w:p w:rsidR="002C5AF6" w:rsidRPr="000F69A6" w:rsidRDefault="000F69A6" w:rsidP="000F69A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Требование-накладная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(ф. 0510451);</w:t>
      </w:r>
    </w:p>
    <w:p w:rsidR="002C5AF6" w:rsidRPr="000F69A6" w:rsidRDefault="000F69A6" w:rsidP="000F69A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 приемки товаров, работ, услуг (ф. 0510452);</w:t>
      </w:r>
    </w:p>
    <w:p w:rsidR="002C5AF6" w:rsidRPr="000F69A6" w:rsidRDefault="000F69A6" w:rsidP="000F69A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Заявка-обоснование закупки товаров, работ, услуг малого объема через подотчетное лицо (ф. 0510521);</w:t>
      </w:r>
    </w:p>
    <w:p w:rsidR="002C5AF6" w:rsidRPr="000F69A6" w:rsidRDefault="000F69A6" w:rsidP="000F69A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Карточка учета капитальных вложений (ф. 0509211);</w:t>
      </w:r>
    </w:p>
    <w:p w:rsidR="002C5AF6" w:rsidRPr="000F69A6" w:rsidRDefault="000F69A6" w:rsidP="000F69A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Карточка учета права пользования нефинансовым активом (ф. 0509214).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Данные формы применяются вне централизуемых полномочий – при самостоятельном оформлении учреждением и регистрации фактов хозяйственной жизни.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6.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применяет бумажный путевой лист. Путевые листы регистрируются в бумажном журнале учета движения путевых листов, который учреждение ведет по унифицированной форме № 8 (утв. постановлением Госкомстата от 28.11.1997 № 78). Нумерация путевых листов ведется в простом хронологическом порядке, начиная с 1 января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каждого следующего года.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Федеральный закон от 06.03.2022 № 39-ФЗ.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Информация о лицензии на медицинский осмотр в сведениях о медосмотре не указывается.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Путевой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лист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оформляется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:</w:t>
      </w:r>
    </w:p>
    <w:p w:rsidR="002C5AF6" w:rsidRPr="000F69A6" w:rsidRDefault="000F69A6" w:rsidP="000F2CF7">
      <w:pPr>
        <w:numPr>
          <w:ilvl w:val="0"/>
          <w:numId w:val="6"/>
        </w:numPr>
        <w:spacing w:before="0" w:beforeAutospacing="0" w:after="0" w:afterAutospacing="0" w:line="276" w:lineRule="auto"/>
        <w:ind w:left="1276" w:right="180" w:hanging="283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один день – при коротких рейсах или перевозках в рамках одного дня;</w:t>
      </w:r>
    </w:p>
    <w:p w:rsidR="002C5AF6" w:rsidRPr="000F69A6" w:rsidRDefault="000F69A6" w:rsidP="000F2CF7">
      <w:pPr>
        <w:numPr>
          <w:ilvl w:val="0"/>
          <w:numId w:val="6"/>
        </w:numPr>
        <w:spacing w:before="0" w:beforeAutospacing="0" w:after="0" w:afterAutospacing="0" w:line="276" w:lineRule="auto"/>
        <w:ind w:left="1276" w:right="180" w:hanging="283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длительность рейса – для регулярных перевозок – если срок рейса превышает один день;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Также учреждение может оформить два путевых листа на один автомобиль, если в рейс отправляют двух водителей – по одному путевому листу на каждого водителя. Решение о количестве путевых листов и сроке их действия принимает главный механик.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 Документы, составляемые в электронном виде, хранятся в томах на съемном жестком диске в течение срока, установленного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 При поступлении документов на иностранном языке построчный перевод таких документов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русский язык осуществляется сотрудником учреждения. Переводы составляются на отдельном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документе, заверяются подписью сотрудника, составившего перевод, и прикладываются 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первичным документам.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случае невозможности перевода документа привлекается профессиональный переводчик.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Перевод денежных (финансовых) документов заверяется нотариусом.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Если документы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иностранном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языке составлены по типовой форме (идентичны по количеству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граф, их названию, расшифровке работ и т.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д. и отличаются только суммой), то в отношении их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постоянных показателей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достаточно однократного</w:t>
      </w:r>
      <w:proofErr w:type="gramEnd"/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русский язык. Впоследствии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переводить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нужно только изменяющиеся показатели данного первичного документа.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13 Инструкции к Единому плану счетов № 157н, пункт 31 СГС «Концептуальные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основы бухучета и отчетности».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9. Учреждение использует унифицированные формы регистров бухучета, перечисленные в приложении 3 к приказу № 52н и приложении 3 к приказу № 61н. При необходимости формы регистров, которые не унифицированы, разрабатываются самостоятельно.</w:t>
      </w:r>
      <w:r w:rsidR="000F2CF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11 Инструкции к Единому плану счетов № 157н, подпункт «г» пункта 9 СГС «Учетная политика, оценочные значения и ошибки».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Формирование электронных регистров бухучета осуществляется в следующем порядке: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регистрах в хронологическом порядке систематизируются первичные (сводные) учетные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документы по датам совершения операций, дате принятия к учету первичного документа;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Журнал операций (ф. 0509213) по всем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забалансовым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счетам формируется ежемесячно в случае, если в отчетном месяце были обороты по счету;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журнал регистрации приходных и расходных ордеров составляется ежемесячно,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последний рабочий день месяца;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приходные и расходные кассовые ордера со статусом «подписан» аннулируются, если кассовая операция не проведена в течение двух рабочих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дней, включая день оформления ордера;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инвентарная карточка учета основных средств оформляется при принятии объекта к учету,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мере внесения изменений (данных о переоценке, модернизации, реконструкции, консервации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пр.) и при выбытии. При отсутствии указанных событий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ежегодно,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последний рабочий день года, со сведениями о начисленной амортизации;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пр.) и при выбытии;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журналы операций, главная книга заполняются ежемесячно;</w:t>
      </w:r>
    </w:p>
    <w:p w:rsidR="002C5AF6" w:rsidRPr="000F69A6" w:rsidRDefault="000F69A6" w:rsidP="000F69A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другие регистры, не указанные выше, заполняются по мере необходимости, если иное не установлено законодательством РФ.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Учетные регистры по операциям, указанным в пункте 2 раздела </w:t>
      </w:r>
      <w:r w:rsidRPr="000F69A6">
        <w:rPr>
          <w:rFonts w:hAnsi="Times New Roman" w:cs="Times New Roman"/>
          <w:color w:val="000000"/>
          <w:sz w:val="28"/>
          <w:szCs w:val="28"/>
        </w:rPr>
        <w:t>IV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настоящей учетной политики,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составляются отдельно.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10.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счетам:</w:t>
      </w:r>
    </w:p>
    <w:p w:rsidR="002C5AF6" w:rsidRPr="000F69A6" w:rsidRDefault="000F69A6" w:rsidP="000F69A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Х.302.11.000 «Расчеты по заработной плате» и 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Х.302.13.000 «Расчеты по начислениям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выплаты по оплате труда»;</w:t>
      </w:r>
    </w:p>
    <w:p w:rsidR="002C5AF6" w:rsidRPr="000F69A6" w:rsidRDefault="000F69A6" w:rsidP="000F69A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Х.302.12.000 «Расчеты по прочим несоциальным выплатам персоналу в денежной форме»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КБК Х.302.14.000 «Расчеты по прочим несоциальным выплатам персоналу в натуральной форме»;</w:t>
      </w:r>
    </w:p>
    <w:p w:rsidR="002C5AF6" w:rsidRPr="000F69A6" w:rsidRDefault="000F69A6" w:rsidP="000F69A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КБК Х.302.66.000 «Расчеты по социальным пособиям и компенсациям персоналу в денежной форме» и КБК Х.302.67.000 «Расчеты по социальным компенсациям персоналу в натуральной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форме»;</w:t>
      </w:r>
    </w:p>
    <w:p w:rsidR="002C5AF6" w:rsidRPr="000F69A6" w:rsidRDefault="000F69A6" w:rsidP="000F69A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Х.302.96.000 «Расчеты по иным выплатам текущего характера физическим лицам».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257 Инструкции к Единому плану счетов № 157н.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11. Журналам операций присваиваются номера согласно приложению 11. По операциям, указанным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в пункте 2 раздела </w:t>
      </w:r>
      <w:r w:rsidRPr="000F69A6">
        <w:rPr>
          <w:rFonts w:hAnsi="Times New Roman" w:cs="Times New Roman"/>
          <w:color w:val="000000"/>
          <w:sz w:val="28"/>
          <w:szCs w:val="28"/>
        </w:rPr>
        <w:t>IV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настоящей учетной политики, журналы операций ведутся отдельно.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Журналы операций подписываются главным бухгалтером и бухгалтером, составившим журнал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операций.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Журналы операций (ф. 0504071) ведутся раздельно по кодам финансового обеспечения. Журналы формируются ежемесячно в последний день месяца. К журналам прилагаются первичные учетные документы 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>согласно приложению 1</w:t>
      </w:r>
      <w:r w:rsidR="004F146B" w:rsidRPr="004F146B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0F2CF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 Первичные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составлен на бумажном носителе и заверен собственноручной подписью.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Список сотрудников, имеющих право подписи электронных документов и регистров бухучета, утверждается отдельным приказом главного врача.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часть 5 статьи 9 Закона от 06.12.2011 № 402-ФЗ, пункт 11 Инструкции к Единому плану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счетов № 157н, пункт 32 СГС «Концептуальные основы бухучета и отчетности», Методические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указания, утвержденные приказом Минфина от 30.03.2015 № 52н, статья 2 Закона от 06.04.2011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63-ФЗ.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13. По требованию контролирующих ведомств первичные документы представляются в электронном виде. При невозможности ведомства получить документ в электронном виде копии электронных первичных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документов и регистров бухгалтерского учета распечатываются на бумажном носителе и заверяются главным врач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 собственноручной подписью.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 дата заверения.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заверении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многостраничного документа заверяется копия каждого листа.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 63-ФЗ.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14. Электронные документы, подписанные квалифицированной электронной подписью, хранятся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электронном виде на съемных носителях информации в соответствии с порядком учета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учреждения. Ведение и хранение журнала возлагается приказом главного врача на ответственного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сотрудника учреждения.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33 СГС «Концептуальные основы бухучета и отчетности», пункт 14 Инструкции 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Единому плану счетов № 157н.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15.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>БУЗОО «Тарская ЦРБ»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»,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32 СГС «Концептуальные основы бухучета и отчетности».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16. В деятельности учреждения используются следующие бланки строгой отчетности:</w:t>
      </w:r>
    </w:p>
    <w:p w:rsidR="002C5AF6" w:rsidRPr="000F69A6" w:rsidRDefault="000F69A6" w:rsidP="000F69A6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бланки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>медицинских справок</w:t>
      </w:r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0F69A6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рецептурные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бланки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0F69A6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бланки трудовых книжек и вкладышей к ним;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Учет бланков ведется по стоимости их приобретения.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337 Инструкции к Единому плану счетов № 157н.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Бланки строгой отчетности хранятся в металлических шкафах и (или) сейфах в структурных подразделениях учреждения. По окончании рабочего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дня места хранения бланков опечатываются.</w:t>
      </w:r>
      <w:r w:rsidR="005076B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Списание бланков строгой отчетности с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забалансового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 03 «Бланки строгой отчетности» осуществляется по Акту о списании бланков строгой отчетности (ф. 0510461) в следующих случаях:</w:t>
      </w:r>
    </w:p>
    <w:p w:rsidR="002C5AF6" w:rsidRPr="000F69A6" w:rsidRDefault="000F69A6" w:rsidP="000F69A6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ответственный сотрудник оформил бланк строгой отчетности;</w:t>
      </w:r>
    </w:p>
    <w:p w:rsidR="002C5AF6" w:rsidRPr="000F69A6" w:rsidRDefault="000F69A6" w:rsidP="000F69A6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выявлена порча, хищение или недостача;</w:t>
      </w:r>
    </w:p>
    <w:p w:rsidR="002C5AF6" w:rsidRPr="000F69A6" w:rsidRDefault="000F69A6" w:rsidP="000F69A6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принято решение о списании бланков строгой отчетности, которые признаны недействительными в связи с изменением законодательства.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17. Перечень должностей сотрудников, ответственных за учет, 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>хранение и выдачу бланков строгой</w:t>
      </w:r>
      <w:r w:rsidRPr="004F146B">
        <w:rPr>
          <w:rFonts w:hAnsi="Times New Roman" w:cs="Times New Roman"/>
          <w:color w:val="000000"/>
          <w:sz w:val="28"/>
          <w:szCs w:val="28"/>
        </w:rPr>
        <w:t> 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 xml:space="preserve">отчетности, приведен в приложении </w:t>
      </w:r>
      <w:r w:rsidR="004F146B" w:rsidRPr="004F146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5076B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18. Особенности применения первичных документов: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18.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18.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При поступлении имущества и наличных денег от жертвователя или дарителя составляется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кт в пр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оизвольной форме, в котором указываются:</w:t>
      </w:r>
    </w:p>
    <w:p w:rsidR="002C5AF6" w:rsidRPr="000F69A6" w:rsidRDefault="000F69A6" w:rsidP="004E4292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обязательные реквизиты, предусмотренные пунктом 25 СГС «Концептуальные основы бухучета и отчетности»;</w:t>
      </w:r>
    </w:p>
    <w:p w:rsidR="002C5AF6" w:rsidRPr="000F69A6" w:rsidRDefault="000F69A6" w:rsidP="004E4292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подписи передающей и принимающей стороны.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Если имущество и наличные деньги поступают без оформления письменного договора, передающая сторона указывает в акте:</w:t>
      </w:r>
    </w:p>
    <w:p w:rsidR="002C5AF6" w:rsidRPr="000F69A6" w:rsidRDefault="000F69A6" w:rsidP="004E4292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запись о том, что имущество или деньги переданы безвозмездно;</w:t>
      </w:r>
    </w:p>
    <w:p w:rsidR="002C5AF6" w:rsidRPr="000F69A6" w:rsidRDefault="000F69A6" w:rsidP="004E4292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цели, на которые необходимо использовать пожертвованные деньги или имущество.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18.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внутреннего трудового распорядка. В графах 20 и 37 отражаются итоговые данные неявок.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18.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Расчеты по заработной плате и другим выплатам оформляются в Расчетной ведомости (ф. 0504402) и Платежной ведомости (ф. 0504403).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18.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</w:t>
      </w:r>
      <w:proofErr w:type="spellStart"/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скан-копий</w:t>
      </w:r>
      <w:proofErr w:type="spellEnd"/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документооборота. Согласованием считается возврат электронного письма от получателя к отправителю со </w:t>
      </w:r>
      <w:proofErr w:type="spellStart"/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скан-копией</w:t>
      </w:r>
      <w:proofErr w:type="spellEnd"/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подписанного документа.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После окончания режима удаленной работы первичные документы, оформленные посредством обмена </w:t>
      </w:r>
      <w:proofErr w:type="spellStart"/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скан-копий</w:t>
      </w:r>
      <w:proofErr w:type="spellEnd"/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, распечатываются на бумажном носителе и подписываются собственноручной подписью ответственных лиц.</w:t>
      </w:r>
    </w:p>
    <w:p w:rsidR="002C5AF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19. 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асчетны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листк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сотрудник</w:t>
      </w:r>
      <w:r w:rsidR="00682AFB">
        <w:rPr>
          <w:rFonts w:hAnsi="Times New Roman" w:cs="Times New Roman"/>
          <w:color w:val="000000"/>
          <w:sz w:val="28"/>
          <w:szCs w:val="28"/>
          <w:lang w:val="ru-RU"/>
        </w:rPr>
        <w:t>ам выдаются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в день выдачи зарплаты за вторую половину месяца.</w:t>
      </w:r>
    </w:p>
    <w:p w:rsidR="00682AFB" w:rsidRPr="000F69A6" w:rsidRDefault="00682AFB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682AFB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t>IV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План счетов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1. Бухгалтерский учет ведется с использованием Рабочего плана счетов 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 xml:space="preserve">(приложение </w:t>
      </w:r>
      <w:r w:rsidR="004F146B" w:rsidRPr="004F146B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), разработанного в соответствии с Инструкцией к Единому плану счетов № 157н, Инструкцией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174н, за исключением операций, указанных в пункте 2 раздела </w:t>
      </w:r>
      <w:r w:rsidRPr="000F69A6">
        <w:rPr>
          <w:rFonts w:hAnsi="Times New Roman" w:cs="Times New Roman"/>
          <w:color w:val="000000"/>
          <w:sz w:val="28"/>
          <w:szCs w:val="28"/>
        </w:rPr>
        <w:t>IV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настоящей учетной политики.</w:t>
      </w:r>
      <w:r w:rsidRPr="000F69A6">
        <w:rPr>
          <w:sz w:val="28"/>
          <w:szCs w:val="28"/>
          <w:lang w:val="ru-RU"/>
        </w:rPr>
        <w:br/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оценочные значения и ошибки».</w:t>
      </w:r>
    </w:p>
    <w:p w:rsidR="002C5AF6" w:rsidRPr="000F69A6" w:rsidRDefault="000F69A6" w:rsidP="00682AF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отражении в бухучете хозяйственных операций 1–18-е разряды номера счета Рабочего плана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счетов формируются следующим образом:</w:t>
      </w:r>
      <w:r w:rsidRPr="000F69A6">
        <w:rPr>
          <w:sz w:val="28"/>
          <w:szCs w:val="28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8"/>
        <w:gridCol w:w="7377"/>
      </w:tblGrid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Разряд</w:t>
            </w:r>
            <w:proofErr w:type="spellEnd"/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номера</w:t>
            </w:r>
            <w:proofErr w:type="spellEnd"/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</w:tr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Аналитический код вида услуги:</w:t>
            </w:r>
          </w:p>
          <w:p w:rsidR="00682AFB" w:rsidRPr="00682AFB" w:rsidRDefault="00682AFB" w:rsidP="00682AFB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A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0901 - Стационарная медицинская помощь</w:t>
            </w:r>
          </w:p>
          <w:p w:rsidR="00682AFB" w:rsidRPr="00682AFB" w:rsidRDefault="00682AFB" w:rsidP="00682AFB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A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0902 - Амбулаторная помощь</w:t>
            </w:r>
          </w:p>
          <w:p w:rsidR="00682AFB" w:rsidRPr="00682AFB" w:rsidRDefault="00682AFB" w:rsidP="00682AFB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A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0906 - Заготовка, переработка, хранение и обеспечение безопасности донорской крови и ее компонентов</w:t>
            </w:r>
          </w:p>
          <w:p w:rsidR="002C5AF6" w:rsidRPr="000F69A6" w:rsidRDefault="00682AFB" w:rsidP="00682AFB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82A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0909 - Другие вопросы в области здравоохранения</w:t>
            </w:r>
          </w:p>
        </w:tc>
      </w:tr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2C5AF6" w:rsidRPr="000F69A6" w:rsidRDefault="000F69A6" w:rsidP="004E4292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2C5AF6" w:rsidRPr="000F69A6" w:rsidRDefault="000F69A6" w:rsidP="004E4292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остальных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случаях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нули</w:t>
            </w:r>
          </w:p>
        </w:tc>
      </w:tr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Код вида поступлений или выбытий, соответствующий:</w:t>
            </w:r>
          </w:p>
          <w:p w:rsidR="002C5AF6" w:rsidRPr="000F69A6" w:rsidRDefault="000F69A6" w:rsidP="004E4292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аналитической группе подвида доходов бюджетов;</w:t>
            </w:r>
          </w:p>
          <w:p w:rsidR="002C5AF6" w:rsidRPr="000F69A6" w:rsidRDefault="000F69A6" w:rsidP="004E4292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коду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расходов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2C5AF6" w:rsidRPr="000F69A6" w:rsidRDefault="000F69A6" w:rsidP="004E4292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аналитической группе </w:t>
            </w: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вида источников финансирования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дефицитов бюджетов</w:t>
            </w:r>
            <w:proofErr w:type="gramEnd"/>
          </w:p>
        </w:tc>
      </w:tr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Код вида финансового обеспечения (деятельности):</w:t>
            </w:r>
          </w:p>
          <w:p w:rsidR="002C5AF6" w:rsidRPr="000F69A6" w:rsidRDefault="000F69A6" w:rsidP="004E4292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 – приносящая доход деятельность (собственные доходы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учреждения);</w:t>
            </w:r>
          </w:p>
          <w:p w:rsidR="002C5AF6" w:rsidRPr="000F69A6" w:rsidRDefault="000F69A6" w:rsidP="004E4292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 –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средства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временном распоряжении;</w:t>
            </w:r>
          </w:p>
          <w:p w:rsidR="002C5AF6" w:rsidRPr="000F69A6" w:rsidRDefault="000F69A6" w:rsidP="004E4292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– субсидия на выполнение государственного задания;</w:t>
            </w:r>
          </w:p>
          <w:p w:rsidR="002C5AF6" w:rsidRPr="000F69A6" w:rsidRDefault="000F69A6" w:rsidP="004E4292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 –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субсидии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иные цели;</w:t>
            </w:r>
          </w:p>
          <w:p w:rsidR="002C5AF6" w:rsidRPr="000F69A6" w:rsidRDefault="000F69A6" w:rsidP="004E4292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6 – субсидии на цели осуществления </w:t>
            </w: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капитальных</w:t>
            </w:r>
            <w:proofErr w:type="gramEnd"/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вложения;</w:t>
            </w:r>
          </w:p>
          <w:p w:rsidR="002C5AF6" w:rsidRPr="000F69A6" w:rsidRDefault="000F69A6" w:rsidP="004E4292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 – средства по обязательному медицинскому страхованию</w:t>
            </w:r>
          </w:p>
        </w:tc>
      </w:tr>
      <w:tr w:rsidR="002C5AF6" w:rsidRPr="000F69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2C5AF6" w:rsidP="000F69A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2C5AF6" w:rsidP="000F69A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C5AF6" w:rsidRPr="000F69A6" w:rsidRDefault="000F69A6" w:rsidP="00343DE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21–21.2 Инструкции к Единому плану счетов № 157н, пункт 2.1 Инструкции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174н.</w:t>
      </w:r>
    </w:p>
    <w:p w:rsidR="002C5AF6" w:rsidRPr="000F69A6" w:rsidRDefault="000F69A6" w:rsidP="00343DE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Кроме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счетов, утвержденных в Инструкции к Единому плану счетов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157н,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применяет дополнительные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счета, утвержденные в Рабочем плане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 xml:space="preserve">счетов (приложение </w:t>
      </w:r>
      <w:r w:rsidR="004F146B" w:rsidRPr="004F146B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r w:rsidRPr="000F69A6">
        <w:rPr>
          <w:sz w:val="28"/>
          <w:szCs w:val="28"/>
          <w:lang w:val="ru-RU"/>
        </w:rPr>
        <w:br/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332 Инструкции к Единому плану счетов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157н, пункт 19 СГС «Концептуальные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основы бухучета и отчетности».</w:t>
      </w:r>
    </w:p>
    <w:p w:rsidR="002C5AF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 В части операций по исполнению публичных обязательств перед гражданами в денежной форме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учреждение ведет бюджетный учет по рабочему Плану счетов в соответствии Инструкцией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162н.</w:t>
      </w:r>
      <w:r w:rsidRPr="000F69A6">
        <w:rPr>
          <w:sz w:val="28"/>
          <w:szCs w:val="28"/>
          <w:lang w:val="ru-RU"/>
        </w:rPr>
        <w:br/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2 и 6 Инструкции к Единому плану счетов № 157н.</w:t>
      </w:r>
    </w:p>
    <w:p w:rsidR="00A50832" w:rsidRPr="000F69A6" w:rsidRDefault="00A50832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50832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t>V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Методика ведения бухгалтерского учета, оценки отдельных видов имущества и обязательств</w:t>
      </w:r>
    </w:p>
    <w:p w:rsidR="002C5AF6" w:rsidRPr="000F69A6" w:rsidRDefault="000F69A6" w:rsidP="00A5083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1.1. Бухучет ведется по первичным документам, которые проверены сотрудниками бухгалтерии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соответствии с положением о внутреннем финансовом 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контроле (приложение </w:t>
      </w:r>
      <w:r w:rsidR="004F146B" w:rsidRPr="004F146B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r w:rsidR="00A5083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Основание: пункт 3 Инструкции к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Единому плану счетов № 157н, пункт 23 СГС «Концептуальные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основы бухучета и отчетности».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комиссия учреждения по поступлению и выбытию активов.</w:t>
      </w:r>
      <w:r w:rsidR="00A5083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54 СГС «Концептуальные основы бухучета и отчетности».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1.3. В случае если для показателя, необходимого для ведения бухгалтерского учета, не установлен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метод оценки в законодательстве и в настоящей учетной политике, то величина оценочного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показателя определяется профессиональным суждением главного бухгалтера.</w:t>
      </w:r>
      <w:r w:rsidR="00A5083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6 СГС «Учетная политика, оценочные значения и ошибки».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1.4. Принятие к учету основных средства, нематериальных 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5083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Основные средства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2.1. Учреждение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месяцев.</w:t>
      </w:r>
    </w:p>
    <w:p w:rsidR="002C5AF6" w:rsidRPr="00A50832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2.2. Учреждение группирует медицинские изделия на инструменты и оборудование 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Классификации, утвержденной постановлением Правительства от 01.01.2002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1, в зависимости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от сроков полезного использования. </w:t>
      </w:r>
      <w:r w:rsidRPr="00A50832">
        <w:rPr>
          <w:rFonts w:hAnsi="Times New Roman" w:cs="Times New Roman"/>
          <w:color w:val="000000"/>
          <w:sz w:val="28"/>
          <w:szCs w:val="28"/>
          <w:lang w:val="ru-RU"/>
        </w:rPr>
        <w:t>Если срок:</w:t>
      </w:r>
    </w:p>
    <w:p w:rsidR="002C5AF6" w:rsidRPr="000F69A6" w:rsidRDefault="000F69A6" w:rsidP="004E4292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меньше двух лет – изделие относится к медицинским инструментам;</w:t>
      </w:r>
    </w:p>
    <w:p w:rsidR="002C5AF6" w:rsidRPr="000F69A6" w:rsidRDefault="000F69A6" w:rsidP="004E4292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два года и более – изделие относится к медицинскому оборудованию.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Срок службы определяется по технической документации и паспорту производителя.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2.3.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2C5AF6" w:rsidRPr="000F69A6" w:rsidRDefault="000F69A6" w:rsidP="004E4292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объекты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библиотечного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фонда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мебель для обстановки одного помещения: столы, стулья, стеллажи, шкафы, полки;</w:t>
      </w:r>
    </w:p>
    <w:p w:rsidR="002C5AF6" w:rsidRPr="000F69A6" w:rsidRDefault="000F69A6" w:rsidP="004E4292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компьютерное и периферийное оборудование: системные блоки, мониторы, компьютерные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мыши, клавиатуры, принтеры, сканеры, колонки, акустические системы, микрофоны,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веб-камеры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, устройства захвата видео, внешние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ТВ-тюнеры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, внешние накопители на жестких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дисках;</w:t>
      </w:r>
      <w:proofErr w:type="gramEnd"/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 считается существенной стоимость до 20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000 руб. за один имущественный объект.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  <w:r w:rsidR="00A5083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10 СГС «Основные средства».</w:t>
      </w:r>
    </w:p>
    <w:p w:rsidR="002C5AF6" w:rsidRPr="000F69A6" w:rsidRDefault="000F69A6" w:rsidP="00A5083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2.4. Уникальный инвентарный номер состоит из десяти знаков и присваивается в порядке:</w:t>
      </w:r>
    </w:p>
    <w:p w:rsidR="002C5AF6" w:rsidRPr="000F69A6" w:rsidRDefault="000F69A6" w:rsidP="004E42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1-й разряд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="00A50832">
        <w:rPr>
          <w:rFonts w:hAnsi="Times New Roman" w:cs="Times New Roman"/>
          <w:color w:val="000000"/>
          <w:sz w:val="28"/>
          <w:szCs w:val="28"/>
          <w:lang w:val="ru-RU"/>
        </w:rPr>
        <w:t>код финансового обеспечения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, к которо</w:t>
      </w:r>
      <w:r w:rsidR="00A50832">
        <w:rPr>
          <w:rFonts w:hAnsi="Times New Roman" w:cs="Times New Roman"/>
          <w:color w:val="000000"/>
          <w:sz w:val="28"/>
          <w:szCs w:val="28"/>
          <w:lang w:val="ru-RU"/>
        </w:rPr>
        <w:t>му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отнесен объект при принятии к учету;</w:t>
      </w:r>
    </w:p>
    <w:p w:rsidR="002C5AF6" w:rsidRPr="000F69A6" w:rsidRDefault="000F69A6" w:rsidP="004E42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2–4-й разряды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код объекта учета синтетического счета в Плане счетов бухгалтерского учета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(приложение 1 к приказу Минфина от 16.10.2010 № 174н);</w:t>
      </w:r>
    </w:p>
    <w:p w:rsidR="002C5AF6" w:rsidRPr="000F69A6" w:rsidRDefault="000F69A6" w:rsidP="004E42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5–6-й разряды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код группы и вида синтетического счета Плана счетов бухгалтерского учета (приложение 1 к приказу Минфина от 16.10.2010 № 174н);</w:t>
      </w:r>
    </w:p>
    <w:p w:rsidR="002C5AF6" w:rsidRPr="000F69A6" w:rsidRDefault="000F69A6" w:rsidP="004E4292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7–10-й разряды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порядковый номер нефинансового актива.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9 СГС «Основные средства», пункт 46 Инструкции к Единому плану счетов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157н.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2.5 Присвоенный объекту инвентарный номер наносится:</w:t>
      </w:r>
    </w:p>
    <w:p w:rsidR="002C5AF6" w:rsidRPr="000F69A6" w:rsidRDefault="000F69A6" w:rsidP="004E4292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объекты недвижимого имущества, строения и сооружения – несмываемой краской;</w:t>
      </w:r>
    </w:p>
    <w:p w:rsidR="002C5AF6" w:rsidRPr="000F69A6" w:rsidRDefault="000F69A6" w:rsidP="004E4292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остальные основные средства – путем прикрепления водостойкой инвентаризационной наклейки с номером;</w:t>
      </w:r>
    </w:p>
    <w:p w:rsidR="002C5AF6" w:rsidRPr="000F69A6" w:rsidRDefault="000F69A6" w:rsidP="004E4292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медицинское оборудование и инструменты, на которые невозможно прикрепить наклейки,– мобильным лазером.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сложном объекте.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2.6.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заменяемых 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выбываемых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) составных частей.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Данное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правило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применяется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к следующим группам основных средств:</w:t>
      </w:r>
    </w:p>
    <w:p w:rsidR="002C5AF6" w:rsidRPr="000F69A6" w:rsidRDefault="000F69A6" w:rsidP="004E4292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машины и оборудование;</w:t>
      </w:r>
    </w:p>
    <w:p w:rsidR="002C5AF6" w:rsidRPr="000F69A6" w:rsidRDefault="000F69A6" w:rsidP="004E4292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транспортные средства;</w:t>
      </w:r>
    </w:p>
    <w:p w:rsidR="002C5AF6" w:rsidRPr="000F69A6" w:rsidRDefault="000F69A6" w:rsidP="004E4292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инвентарь производственный и хозяйственный;</w:t>
      </w:r>
    </w:p>
    <w:p w:rsidR="002C5AF6" w:rsidRPr="000F69A6" w:rsidRDefault="000F69A6" w:rsidP="004E4292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многолетние насаждения;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27 СГС «Основные средства».</w:t>
      </w:r>
    </w:p>
    <w:p w:rsidR="002C5AF6" w:rsidRPr="0010008C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2.7. В случае частичной ликвидации или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разукомплектации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стоимость таких частей определяется пропорционально следующему показателю </w:t>
      </w:r>
      <w:r w:rsidRPr="0010008C">
        <w:rPr>
          <w:rFonts w:hAnsi="Times New Roman" w:cs="Times New Roman"/>
          <w:color w:val="000000"/>
          <w:sz w:val="28"/>
          <w:szCs w:val="28"/>
          <w:lang w:val="ru-RU"/>
        </w:rPr>
        <w:t>(в порядке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10008C">
        <w:rPr>
          <w:rFonts w:hAnsi="Times New Roman" w:cs="Times New Roman"/>
          <w:color w:val="000000"/>
          <w:sz w:val="28"/>
          <w:szCs w:val="28"/>
          <w:lang w:val="ru-RU"/>
        </w:rPr>
        <w:t>убывания важности):</w:t>
      </w:r>
    </w:p>
    <w:p w:rsidR="002C5AF6" w:rsidRPr="000F69A6" w:rsidRDefault="000F69A6" w:rsidP="004E4292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площади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объему;</w:t>
      </w:r>
    </w:p>
    <w:p w:rsidR="002C5AF6" w:rsidRPr="000F69A6" w:rsidRDefault="000F69A6" w:rsidP="004E4292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весу;</w:t>
      </w:r>
    </w:p>
    <w:p w:rsidR="002C5AF6" w:rsidRPr="000F69A6" w:rsidRDefault="000F69A6" w:rsidP="004E4292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иному показателю, установленному комиссией по поступлению и выбытию активов.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2.8.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дооборудований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Данное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правило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применяется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к следующим группам основных средств:</w:t>
      </w:r>
    </w:p>
    <w:p w:rsidR="002C5AF6" w:rsidRPr="000F69A6" w:rsidRDefault="000F69A6" w:rsidP="004E4292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машины и оборудование;</w:t>
      </w:r>
    </w:p>
    <w:p w:rsidR="002C5AF6" w:rsidRPr="000F69A6" w:rsidRDefault="000F69A6" w:rsidP="004E4292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транспортные средства;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28 СГС «Основные средства».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2.9. Начисление амортизации осуществляется линейным методом.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36, 37 СГС «Основные средства».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2.10. В случаях, когда установлены одинаковые сроки полезного использования и метод расчета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амортизации всех структурных частей единого объекта основных средств, учреждение объединяет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такие части для определения суммы амортизации.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40 СГС «Основные средства».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2.11. При переоценке объекта основных средств накопленная амортизация на дату переоценки пересчитывается пропорционально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изменению первоначальной стоимости объекта таким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образом, чтобы его остаточная стоимость после переоценки равнялась его переоцененной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стоимости. При этом балансовая стоимость и накопленная амортизация увеличиваются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(умножаются) на одинаковый коэффициент таким образом, чтобы при их суммировании получить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переоцененную стоимость на дату проведения переоценки.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41 СГС «Основные средства».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2.12. Срок полезного использования объектов основных средств устанавливает комиссия 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поступлению и выбытию в соответствии с пунктом 35 СГС «Основные средства». Состав комиссии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поступлению и выбытию активов установлен в приложении 1 настоящей учетной политики.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2.13. Имущество, относящееся к категории особо ценного имущества (ОЦИ), определяет комиссия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поступлению и выбытию активов (приложение 1). Такое имущество принимается 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учету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основании выписки из протокола комиссии.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2.14. Основные средства стоимостью до 10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000 руб. включительно, находящиеся в эксплуатации,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учитываются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21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балансовой стоимости.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пункт 39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СГС «Основные средства»,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пункт 373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Инструкции к Единому плану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счетов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157н.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2.15. При приобретении и (или) создании основных средств за счет средств, полученных 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разным видам деятельности, сумма вложений, сформированных на счете 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Х.106.00.000,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переводится на код вида деятельности 4 «субсидии на выполнение государственного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(муниципального) задания».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2.16.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который ранее приобретен (создан) учреждением за счет средств от приносящей доход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деятельности, стоимость этого объекта переводится с кода вида деятельности «2» на код вида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деятельности «4». Одновременно переводится сумма начисленной амортизации.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2.17. Локально-вычислительная сеть (ЛВС) и охранно-пожарная сигнализация (ОПС) как отдельные инвентарные объекты не учитывается.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одинаковый срок полезного использования, учитываются как единый инвентарный объект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порядке, установленном в пункте 2.2 раздела </w:t>
      </w:r>
      <w:r w:rsidRPr="000F69A6">
        <w:rPr>
          <w:rFonts w:hAnsi="Times New Roman" w:cs="Times New Roman"/>
          <w:color w:val="000000"/>
          <w:sz w:val="28"/>
          <w:szCs w:val="28"/>
        </w:rPr>
        <w:t>V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настоящей учетной политики.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2.18. Расходы на доставку нескольких имущественных объектов распределяются в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первоначальную стоимость этих объектов пропорционально их стоимости, указанной в договоре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поставки.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2.19. Передача в пользование объектов, которые содержатся за счет учреждения, отражается как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внутреннее перемещение. Учет таких объектов ведется на дополнительном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43П «Имущество, переданное в пользование, – не объект аренды».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2.20. Ответственными за хранение технической документации на объекты основных средств являются ответственные лица, за которыми они закреплены. Если на основное средство производитель (поставщик) предусмотрел гарантийный срок, ответственное лицо хранит также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гарантийные талоны.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10008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Нематериальные активы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3.1. Начисление амортизации осуществляется линейным методом.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30, 31 СГС «Нематериальные активы».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3.4.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Первоначальная стоимость НМА, созданных учреждением, помимо затрат, указанных в пунктах 19–22 СГС «Нематериальные активы», также включает:</w:t>
      </w:r>
      <w:proofErr w:type="gramEnd"/>
    </w:p>
    <w:p w:rsidR="002C5AF6" w:rsidRPr="000F69A6" w:rsidRDefault="000F69A6" w:rsidP="004E4292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2C5AF6" w:rsidRPr="000F69A6" w:rsidRDefault="000F69A6" w:rsidP="004E4292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расходы на заработную плату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тестировщиков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программного обеспечения, созданного силами учреждения;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3.5. Учреждение дополнительно раскрывает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44 СГС «Нематериальные активы».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10008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spellStart"/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Непроизведенные</w:t>
      </w:r>
      <w:proofErr w:type="spellEnd"/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активы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4.1. Объект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02 «Материальные ценности, принятые на хранение».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7 СГС «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активы»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  <w:proofErr w:type="gramEnd"/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17 СГС «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активы»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4.3. Каждому инвентарному объекту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активов в момент принятия к бухгалтерскому учету присваивается инвентарный номер. Инвентарный номер объекта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активов состоит из пятнадцати знаков, определяемый последовательно по мере принятия к учету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активов – Х.Х.ХХХХХХ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.Х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ХХХ, где:</w:t>
      </w:r>
    </w:p>
    <w:p w:rsidR="002C5AF6" w:rsidRPr="000F69A6" w:rsidRDefault="000F69A6" w:rsidP="004E42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 разряд – код синтетической группы инвентарного объекта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активов по счету 103 «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активы» – «3»;</w:t>
      </w:r>
    </w:p>
    <w:p w:rsidR="002C5AF6" w:rsidRPr="000F69A6" w:rsidRDefault="000F69A6" w:rsidP="004E42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 разряд – код вида инвентарного номера «1» – индивидуальный инвентарный объект;</w:t>
      </w:r>
    </w:p>
    <w:p w:rsidR="002C5AF6" w:rsidRPr="000F69A6" w:rsidRDefault="000F69A6" w:rsidP="004E42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3–8 разряды – порядковый номер инвентарного объекта (000001, 000002 и т.д.);</w:t>
      </w:r>
    </w:p>
    <w:p w:rsidR="002C5AF6" w:rsidRPr="000F69A6" w:rsidRDefault="000F69A6" w:rsidP="004E42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9–12 разряды – внутренний групповой инвентарный номер (0001, 0002 и т.д.).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индивидуального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инвентарного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объекта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указывается 0000.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81 Инструкции к Единому плану счетов № 157н.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4.4. Аналитический учет вложений в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непроизведенные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активы ведется в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многографной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карточке (ф. 0504054).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128 Инструкции к Единому плану счетов № 157н.</w:t>
      </w:r>
    </w:p>
    <w:p w:rsidR="002C5AF6" w:rsidRPr="000F69A6" w:rsidRDefault="000F69A6" w:rsidP="0010008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Материальные запасы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5.1. Учреждение учитывает в составе материальных запасов материальные объекты, указанные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пунктах 98–99 Инструкции к Единому плану счетов № 157н, а также производственный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хозяйственный инвентарь, перечень которого приведен в приложении 12.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Единица учета материальных запасов в учреждении – номенклатурная (реестровая) единица.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Исключение: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а) материальные запасы с ограниченным сроком годности – продукты питания, медикаменты и др., а также товары для продажи. Единица учета таких материальных запасов – партия. Решение о применении единицы учета «партия» принимает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бухгалтер на основе своего профессионального суждения.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б)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группы материальных запасов, характеристики которых совпадают, а также следующие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материальные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запасы: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70"/>
        <w:gridCol w:w="2756"/>
      </w:tblGrid>
      <w:tr w:rsidR="002C5AF6" w:rsidRPr="000F69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Единицы измерения</w:t>
            </w:r>
          </w:p>
        </w:tc>
      </w:tr>
      <w:tr w:rsidR="002C5AF6" w:rsidRPr="000F69A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Подгруппа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Одежда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обувь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C5AF6" w:rsidRPr="000F69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Халат медицинский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gram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5AF6" w:rsidRPr="000F69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Колпак медицинский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gram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5AF6" w:rsidRPr="000F69A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Подгруппа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Постельные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принадлежности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C5AF6" w:rsidRPr="000F69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Подушка пуховая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gram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5AF6" w:rsidRPr="000F69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Подушка синтетическая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gram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5AF6" w:rsidRPr="000F69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Простынь односпальная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gram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5AF6" w:rsidRPr="000F69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Пододеяльник односпальный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gram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5AF6" w:rsidRPr="000F69A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Подгруппа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Прочие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материальные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запасы</w:t>
            </w:r>
            <w:proofErr w:type="spellEnd"/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C5AF6" w:rsidRPr="000F69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AF6" w:rsidRPr="000F69A6" w:rsidRDefault="000F69A6" w:rsidP="000F69A6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F69A6">
              <w:rPr>
                <w:rFonts w:hAnsi="Times New Roman" w:cs="Times New Roman"/>
                <w:color w:val="000000"/>
                <w:sz w:val="28"/>
                <w:szCs w:val="28"/>
              </w:rPr>
              <w:t>кг</w:t>
            </w:r>
          </w:p>
        </w:tc>
      </w:tr>
      <w:tr w:rsidR="002C5AF6" w:rsidRPr="000F69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2C5AF6" w:rsidP="000F69A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AF6" w:rsidRPr="000F69A6" w:rsidRDefault="002C5AF6" w:rsidP="000F69A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Единица учета таких материальных запасов – однородная (реестровая) группа запасов.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Решение о применении единицы учета «однородная (реестровая) группа запасов» в отношении материальных запасов, характеристики которых совпадают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бухгалтер на основе своего профессионального суждения.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8 СГС «Запасы».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в первичных документах поставщика единицы измерения отличаются от тех, которые использует учреждение, ответственный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сотрудник оформляет акт перевода единиц измерения. Акт прикладывают к первичным документам поставщика.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Товары, переданные в реализацию, отражаются по цене реализации с обособлением торговой наценки.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30 СГС «Запасы».</w:t>
      </w:r>
    </w:p>
    <w:p w:rsidR="002C5AF6" w:rsidRPr="000F69A6" w:rsidRDefault="000F69A6" w:rsidP="0010008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10008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Фактическая стоимость материальных запасов, полученных в результате ремонта, разборки,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утилизации (ликвидации), основных средств или иного имущества определяется исходя из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следующих факторов:</w:t>
      </w:r>
    </w:p>
    <w:p w:rsidR="002C5AF6" w:rsidRPr="000F69A6" w:rsidRDefault="000F69A6" w:rsidP="004E4292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их справедливой стоимости на дату принятия к бухгалтерскому учету, рассчитанной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методом рыночных цен;</w:t>
      </w:r>
    </w:p>
    <w:p w:rsidR="002C5AF6" w:rsidRPr="000F69A6" w:rsidRDefault="000F69A6" w:rsidP="004E4292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сумм, уплачиваемых учреждением за доставку материальных запасов, приведение их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состояние, пригодное для использования.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52–60 СГС «Концептуальные основы бухучета и отчетности».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Материальные запасы (лекарственные препараты, донорская кровь) изготавливаются для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нужд учреждения и принимаются к учету по фактической стоимости на основании Требования-накладной (ф. 0504204).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Ветошь, полученная от списания мягкого инвентаря, принимается к учету на основании Требования-накладной (ф. 0504204) по справедливой стоимости, определенной комиссией 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поступлению и выбытию активов методом рыночных цен.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18 СГС «Запасы».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0F69A6">
        <w:rPr>
          <w:sz w:val="28"/>
          <w:szCs w:val="28"/>
          <w:lang w:val="ru-RU"/>
        </w:rPr>
        <w:br/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19 СГС «Запасы».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Учреждение применяет следующий порядок подстатей КОСГУ в части учета материальных запасов: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Специальные жидкости для автомобиля (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тормозная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стеклоомывающая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, тосол и другие охлаждающие) учитываются на счете 105.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 и по КОСГУ 343.</w:t>
      </w:r>
    </w:p>
    <w:p w:rsidR="002C5AF6" w:rsidRPr="000F69A6" w:rsidRDefault="000F69A6" w:rsidP="009E16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9E166C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приобретении и (или) создании материальных запасов за счет средств, полученных по разным видам деятельности, сумма вложений,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сформированных на счете КБК Х.106.00.000, переводится на код вида деятельности 4 «Субсидии на выполнение государственного (муниципального) задания».</w:t>
      </w:r>
    </w:p>
    <w:p w:rsidR="002C5AF6" w:rsidRPr="002C4BE3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5.1</w:t>
      </w:r>
      <w:r w:rsid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1</w:t>
      </w: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. Установлены следующие особенности учета материальных запасов: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2C4BE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.1 Особенности учета медикаментов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Учет прихода и расхода медикаментов и перевязочных средств осуществляется в соответствии с Отраслевыми особенностями.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Основание: пункт 20.3 Отраслевых особенностей, утвержденных письмом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Минздравсоцразвития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от 12.07.2007 № 5435-РХ.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Ответственные лица ведут предметно-количественный учет медикаментов и перевязочных средств. В регистрах бухгалтерского учета учет медикаментов и перевязочных средств ведется в суммовом (денежном) выражении.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2C4BE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C4BE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Особенности приобретения и учета горюче-смазочных материалов (ГСМ).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Снабжение автомобильного транспорта ГСМ проводится по топливным картам. Исключение составляют выезды в командировку на автомобиле учреждения, когда по пути следования отсутствуют АЗС с оплатой по топливным картам.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Нормы на расходы горюче-смазочных материалов (ГСМ) разрабатываются специализированной организацией и утверждаются приказом главного врача.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Ежегодно приказом главного врача утверждаются период применения зимней надбавки к нормам расхода ГСМ и ее величина.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ГСМ списывают на расходы по фактическому расходу на основании путевых листов, но не выше норм, установленных приказом главного врача.</w:t>
      </w:r>
    </w:p>
    <w:p w:rsidR="002C5AF6" w:rsidRPr="002C4BE3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5.1</w:t>
      </w:r>
      <w:r w:rsid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1</w:t>
      </w: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3</w:t>
      </w: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. Особенности использования и учета мягкого инвентаря.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Для учета мягкого инвентаря применяется книга учета материальных ценностей (ф. 0504042), которую ведут материально ответственные лица. Учитывается мягкий инвентарь по наименованиям, сортам и количеству — для каждого наименования объекта учета используется отдельная страница. Бухгалтерия учреждения систематически контролирует поступление и расходование мягкого инвентаря, находящегося на складе и в местах хранения, а также сверяет данные учета инвентаря с записями, которые ведутся на складе. Результаты таких проверок фиксируются соответствующими записями на отдельной странице в конце книги учета материальных ценностей.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Предметы мягкого инвентаря маркирует кладовщик в присутствии одного из членов комиссии по поступлению и выбытию нефинансовых активов. Маркировочные штампы хранятся у заместителя главного врача по административно-хозяйственной части. Срок маркировки не позднее дня, следующего за днем поступления мягкого инвентаря на склад.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Мягкий инвентарь, поступивший в учреждение в комплектах, разукомплектовывается и учитывается поштучно, что оформляется самостоятельно разработанным актом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разукомплектации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 выдаче мягкого инвентаря в эксплуатацию проводится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дополнительная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маркировку с указанием года и месяца выдачи со склада.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Мягкий инвентарь выдается в эксплуатацию по ведомости выдачи материальных ценностей на нужды учреждения (ф. 0504210).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(ф. 0510450).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Предметы мягкого инвентаря списываются при полной их изношенности по решению комиссии по поступлению и выбытию активов.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присутствии комиссии списанный мягкий инвентарь уничтожается или превращается в ветошь (разрезается, рвется и т. д.). Пригодная для использования в хозяйственных целях ветошь принимается на склад с указанием веса, затем используется для уборки помещений.</w:t>
      </w:r>
    </w:p>
    <w:p w:rsidR="002C5AF6" w:rsidRPr="002C4BE3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5.1</w:t>
      </w:r>
      <w:r w:rsidR="002C4BE3"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1</w:t>
      </w: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="002C4BE3"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4</w:t>
      </w: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. Особенности использования и учета хозяйственного инвентаря.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правил, установленных пунктом 2.1 раздела </w:t>
      </w:r>
      <w:r w:rsidRPr="000F69A6">
        <w:rPr>
          <w:rFonts w:hAnsi="Times New Roman" w:cs="Times New Roman"/>
          <w:color w:val="000000"/>
          <w:sz w:val="28"/>
          <w:szCs w:val="28"/>
        </w:rPr>
        <w:t>V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настоящей учетной политики. При этом, независимо от срока полезного использования, учитываются как материальные запасы:</w:t>
      </w:r>
    </w:p>
    <w:p w:rsidR="002C4BE3" w:rsidRDefault="000F69A6" w:rsidP="002C4BE3">
      <w:pPr>
        <w:spacing w:before="0" w:beforeAutospacing="0" w:after="0" w:afterAutospacing="0" w:line="276" w:lineRule="auto"/>
        <w:ind w:left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— швабры, грабли, метлы, веники;</w:t>
      </w:r>
    </w:p>
    <w:p w:rsidR="002C4BE3" w:rsidRDefault="000F69A6" w:rsidP="002C4BE3">
      <w:pPr>
        <w:spacing w:before="0" w:beforeAutospacing="0" w:after="0" w:afterAutospacing="0" w:line="276" w:lineRule="auto"/>
        <w:ind w:left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— инструменты: слесарно-монтажный, столярно-плотницкий, строительный;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left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— канцтовары.</w:t>
      </w:r>
    </w:p>
    <w:p w:rsidR="002C5AF6" w:rsidRPr="000F69A6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Выдача хозяйственного инвентаря (материалов) на нужды учреждения производится исходя из месячной потребности в нем.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главного врача.</w:t>
      </w:r>
    </w:p>
    <w:p w:rsidR="002C5AF6" w:rsidRPr="002C4BE3" w:rsidRDefault="000F69A6" w:rsidP="002C4BE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5.1</w:t>
      </w:r>
      <w:r w:rsid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1</w:t>
      </w: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5</w:t>
      </w:r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Особенности учета карт </w:t>
      </w:r>
      <w:proofErr w:type="spellStart"/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>тахографа</w:t>
      </w:r>
      <w:proofErr w:type="spellEnd"/>
      <w:r w:rsidRPr="002C4BE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для водителя.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Карты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тахографа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не признаются активом учреждения, поскольку учреждение не вправе без согласия водителя изъять карту при его увольнении, уничтожить ее или аннулировать. В целях управленческого учета и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сохранностью карты учитываются на дополнительном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50К «Карты водителей для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тахографа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».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332 Инструкции к Единому плану счетов № 157н.</w:t>
      </w:r>
    </w:p>
    <w:p w:rsidR="002C5AF6" w:rsidRPr="00804A8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04A86">
        <w:rPr>
          <w:rFonts w:hAnsi="Times New Roman" w:cs="Times New Roman"/>
          <w:bCs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bCs/>
          <w:color w:val="000000"/>
          <w:sz w:val="28"/>
          <w:szCs w:val="28"/>
          <w:lang w:val="ru-RU"/>
        </w:rPr>
        <w:t>2</w:t>
      </w:r>
      <w:r w:rsidRPr="00804A86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Pr="00804A86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804A86">
        <w:rPr>
          <w:rFonts w:hAnsi="Times New Roman" w:cs="Times New Roman"/>
          <w:bCs/>
          <w:color w:val="000000"/>
          <w:sz w:val="28"/>
          <w:szCs w:val="28"/>
          <w:lang w:val="ru-RU"/>
        </w:rPr>
        <w:t>Учет запчастей за балансом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Учет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нетипизированные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запчасти и комплектующие), такие как:</w:t>
      </w:r>
      <w:proofErr w:type="gramEnd"/>
    </w:p>
    <w:p w:rsidR="002C5AF6" w:rsidRPr="000F69A6" w:rsidRDefault="000F69A6" w:rsidP="004E42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автомобильные шины — четыре единицы на один легковой автомобиль;</w:t>
      </w:r>
    </w:p>
    <w:p w:rsidR="002C5AF6" w:rsidRPr="000F69A6" w:rsidRDefault="000F69A6" w:rsidP="004E42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колесные диски — четыре единицы на один легковой автомобиль;</w:t>
      </w:r>
    </w:p>
    <w:p w:rsidR="002C5AF6" w:rsidRPr="000F69A6" w:rsidRDefault="000F69A6" w:rsidP="004E42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аккумуляторы — одна единица на один автомобиль;</w:t>
      </w:r>
    </w:p>
    <w:p w:rsidR="002C5AF6" w:rsidRPr="000F69A6" w:rsidRDefault="000F69A6" w:rsidP="004E42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наборы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автоинструмента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— одна единица на один автомобиль;</w:t>
      </w:r>
    </w:p>
    <w:p w:rsidR="002C5AF6" w:rsidRPr="000F69A6" w:rsidRDefault="000F69A6" w:rsidP="004E42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аптечки — одна единица на один автомобиль;</w:t>
      </w:r>
    </w:p>
    <w:p w:rsidR="002C5AF6" w:rsidRPr="000F69A6" w:rsidRDefault="000F69A6" w:rsidP="004E42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огнетушители—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од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единица на один автомобиль;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Решение о замене поврежденной или не подлежащей ремонту шины принимает комиссия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учрежденияпо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поступлению и выбытию активов. Решение о замене комиссия оформляет документально в карточке учета автомобильной шины, форма которой разработана учреждением самостоятельно.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Сезонная замена шин собственными силами отражается в Накладной на внутреннее перемещение (ф. 0504102).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Аналитический учет по счету ведется в разрезе автомобилей и ответственных лиц.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Поступление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счет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09 отражается:</w:t>
      </w:r>
    </w:p>
    <w:p w:rsidR="002C5AF6" w:rsidRPr="000F69A6" w:rsidRDefault="000F69A6" w:rsidP="004E4292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установке (передаче материально ответственному лицу) соответствующих</w:t>
      </w:r>
      <w:r w:rsidRPr="000F69A6">
        <w:rPr>
          <w:sz w:val="28"/>
          <w:szCs w:val="28"/>
          <w:lang w:val="ru-RU"/>
        </w:rPr>
        <w:br/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запчастей после списания со счета 0.105.36.000 «Прочие материальные запасы — иное движимое имущество учреждения»;</w:t>
      </w:r>
    </w:p>
    <w:p w:rsidR="002C5AF6" w:rsidRPr="000F69A6" w:rsidRDefault="000F69A6" w:rsidP="004E4292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забалансового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 09.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 безвозмездном получении от государственных (муниципальных) учреждений запасных частей, учитываемых передающей стороной на счете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09, но не подлежащих учету на указанном счете в соответствии с настоящей учетной политикой,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оприходование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запчастей на счет 09 не производится.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Внутреннее перемещение по счету отражается:</w:t>
      </w:r>
    </w:p>
    <w:p w:rsidR="002C5AF6" w:rsidRPr="000F69A6" w:rsidRDefault="000F69A6" w:rsidP="004E4292">
      <w:pPr>
        <w:numPr>
          <w:ilvl w:val="0"/>
          <w:numId w:val="28"/>
        </w:numPr>
        <w:spacing w:before="0" w:beforeAutospacing="0" w:after="0" w:afterAutospacing="0" w:line="276" w:lineRule="auto"/>
        <w:ind w:left="1276" w:right="180" w:hanging="283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передаче на другой автомобиль;</w:t>
      </w:r>
    </w:p>
    <w:p w:rsidR="002C5AF6" w:rsidRPr="000F69A6" w:rsidRDefault="000F69A6" w:rsidP="004E4292">
      <w:pPr>
        <w:numPr>
          <w:ilvl w:val="0"/>
          <w:numId w:val="28"/>
        </w:numPr>
        <w:spacing w:before="0" w:beforeAutospacing="0" w:after="0" w:afterAutospacing="0" w:line="276" w:lineRule="auto"/>
        <w:ind w:left="1276" w:right="180" w:hanging="28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передаче другому материально ответственному лицу вместе с автомобилем.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Выбытие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со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счета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09 отражается:</w:t>
      </w:r>
    </w:p>
    <w:p w:rsidR="002C5AF6" w:rsidRPr="000F69A6" w:rsidRDefault="000F69A6" w:rsidP="004E4292">
      <w:pPr>
        <w:numPr>
          <w:ilvl w:val="0"/>
          <w:numId w:val="29"/>
        </w:numPr>
        <w:tabs>
          <w:tab w:val="clear" w:pos="720"/>
        </w:tabs>
        <w:spacing w:before="0" w:beforeAutospacing="0" w:after="0" w:afterAutospacing="0" w:line="276" w:lineRule="auto"/>
        <w:ind w:left="1276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списании автомобиля по установленным основаниям;</w:t>
      </w:r>
    </w:p>
    <w:p w:rsidR="002C5AF6" w:rsidRPr="000F69A6" w:rsidRDefault="000F69A6" w:rsidP="004E4292">
      <w:pPr>
        <w:numPr>
          <w:ilvl w:val="0"/>
          <w:numId w:val="29"/>
        </w:numPr>
        <w:tabs>
          <w:tab w:val="clear" w:pos="720"/>
        </w:tabs>
        <w:spacing w:before="0" w:beforeAutospacing="0" w:after="0" w:afterAutospacing="0" w:line="276" w:lineRule="auto"/>
        <w:ind w:left="1276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установке новых запчастей взамен непригодных к эксплуатации.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349–350 Инструкции к Единому плану счетов № 157н.</w:t>
      </w:r>
    </w:p>
    <w:p w:rsidR="002C5AF6" w:rsidRPr="00804A8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04A86">
        <w:rPr>
          <w:rFonts w:hAnsi="Times New Roman" w:cs="Times New Roman"/>
          <w:bCs/>
          <w:color w:val="000000"/>
          <w:sz w:val="28"/>
          <w:szCs w:val="28"/>
          <w:lang w:val="ru-RU"/>
        </w:rPr>
        <w:t>5.1</w:t>
      </w:r>
      <w:r w:rsidR="00804A86" w:rsidRPr="00804A86">
        <w:rPr>
          <w:rFonts w:hAnsi="Times New Roman" w:cs="Times New Roman"/>
          <w:bCs/>
          <w:color w:val="000000"/>
          <w:sz w:val="28"/>
          <w:szCs w:val="28"/>
          <w:lang w:val="ru-RU"/>
        </w:rPr>
        <w:t>3</w:t>
      </w:r>
      <w:r w:rsidRPr="00804A86">
        <w:rPr>
          <w:rFonts w:hAnsi="Times New Roman" w:cs="Times New Roman"/>
          <w:bCs/>
          <w:color w:val="000000"/>
          <w:sz w:val="28"/>
          <w:szCs w:val="28"/>
          <w:lang w:val="ru-RU"/>
        </w:rPr>
        <w:t>. Особенности списания материальных запасов: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.1. Списание материальных запасов производится по средней фактической стоимости.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108 Инструкции к Единому плану счетов № 157н.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.2 Выдача из аптеки в медицинские подразделения (отделения) наркотических, психотропных веществ и их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прекурсоров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, лекарственных средств и медицинских изделий, подлежащих предметно-количественному учету, оформляется отдельным Требованием-накладной (ф. 0510451).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конце каждого месяца старшая медсестра представляет в бухгалтерию утвержденный главным врач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 отчет о движении лекарственных средств, подлежащих предметно-количественному учету, по форме № 2-МЗ. На основании отчета бухгалтер списывает лекарственные средства, подлежащие предметно-количественному учету, по Акту о списании материальных запасов (ф. 0504230).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.3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Списание указанных в настоящем пункте материальных запасов производится по Акту о списании материальных запасов (ф. 0504230). Эта ведомость является основанием для списания материальных запасов.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Продукты питания, выданные в столовую для нужд учреждения, списываются на основании Меню-требования на выдачу продуктов питания (ф. 0504202).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.4. Мягкий и хозяйственный инвентарь, посуда списываются по Акту о списании мягкого и хозяйственного инвентаря (ф. 0504143).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Мягкий и хозяйственный инвентарь, посуда списываются по Акту о списании мягкого и хозяйственного инвентаря (ф. 0504143). В остальных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случаях материальные запасы списываются по Акту о списании материальных запасов (ф. 0504230).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.5. Остальные материальные запасы, выданные ответственным лицам, списываются по решению комиссии по поступлению и выбытию активов на основании:</w:t>
      </w:r>
    </w:p>
    <w:p w:rsidR="002C5AF6" w:rsidRPr="000F69A6" w:rsidRDefault="000F69A6" w:rsidP="004E4292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путевых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листов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(ф. 0340002, 0345001, 0345002, 0345004, 0345005, 0345007);</w:t>
      </w:r>
    </w:p>
    <w:p w:rsidR="002C5AF6" w:rsidRPr="000F69A6" w:rsidRDefault="000F69A6" w:rsidP="004E4292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акта о списании материальных запасов (ф. 0504230);</w:t>
      </w:r>
    </w:p>
    <w:p w:rsidR="002C5AF6" w:rsidRPr="000F69A6" w:rsidRDefault="000F69A6" w:rsidP="004E4292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акта о списании мягкого и хозяйственного инвентаря (ф. 0504143).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.6. Выдача материалов, на которые установлен лимит (нормы) расхода, производится на основании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лимитно-заборных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карт (по ф. М-8, утв. постановлением Госкомстата России от 30.10.1997 № 71а). Разноска из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лимитно-заборных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карт в книги данных об отпуске материальных запасов может производиться по мере закрытия карт, но не позднее последнего числа месяца.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Прием-сдача первичных учетных документов оформляется составлением реестра, в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котором бухгалтер по учету нефинансовых активов расписывается в получении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документов.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Сдача складом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лимитно-заборных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карт производится после использования лимита. В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начале месяца должны быть сданы все карты за прошлый месяц, независимо от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использования лимита.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лимитно-заборная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карта была выдана на квартал, она сдается в начале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следующего квартала, а в начале второго и третьего месяцев текущего квартала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сдаются месячные талоны от квартальных карт, если талоны оформлялись.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До сдачи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лимитно-заборных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карт их данные выверяются с экземплярами карт того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подразделения, которому были выданы материальные запасы. Выверка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подтверждается подписями заведующего складом (кладовщика) и ответственного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сотрудника подразделения учреждения, получавшего материальные запасы.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.7. При перевозке материальных запасов к покупателю автотранспортом, собственным или привлеченным, учреждение дополнительно оформляет товарно-транспортную накладную, форма которой утверждена в приложении к ученой политике учреждения.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.8. Материальные запасы, которые предназначены для дарения, вручения на мероприятиях, списываются с учета при выдаче со склада на основании Ведомости выдачи материальных ценностей на нужды учреждения (ф. 0504210). После выдачи со склада запасы учитываются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07 «Награды, призы, кубки и ценные подарки, сувениры».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Факт вручения подарков оформляет ответственный сотрудник в акте, форма которого утверждена в приложении к учетной политике учреждения.</w:t>
      </w:r>
    </w:p>
    <w:p w:rsidR="00A95936" w:rsidRDefault="00A9593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5AF6" w:rsidRPr="00A9593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95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Стоимость безвозмездно полученных нефинансовых активов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6.1. Данные о справедливой стоимости безвозмездно полученных нефинансовых активов должны:</w:t>
      </w:r>
    </w:p>
    <w:p w:rsidR="002C5AF6" w:rsidRPr="000F69A6" w:rsidRDefault="000F69A6" w:rsidP="004E4292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справками (другими подтверждающими документами) Росстата;</w:t>
      </w:r>
    </w:p>
    <w:p w:rsidR="002C5AF6" w:rsidRPr="000F69A6" w:rsidRDefault="000F69A6" w:rsidP="004E4292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прайс-листами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заводов-изготовителей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справками (другими подтверждающими документами) оценщиков;</w:t>
      </w:r>
    </w:p>
    <w:p w:rsidR="002C5AF6" w:rsidRPr="000F69A6" w:rsidRDefault="000F69A6" w:rsidP="004E4292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информацией, размещенной в СМИ, и т. д.</w:t>
      </w:r>
    </w:p>
    <w:p w:rsidR="002C5AF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случаях невозможности документального подтверждения стоимость определяется экспертным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путем.</w:t>
      </w:r>
    </w:p>
    <w:p w:rsidR="00A95936" w:rsidRPr="000F69A6" w:rsidRDefault="00A9593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95936" w:rsidRDefault="000F69A6" w:rsidP="00A9593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95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Затраты на изготовление готовой продукции, </w:t>
      </w:r>
    </w:p>
    <w:p w:rsidR="002C5AF6" w:rsidRPr="00A95936" w:rsidRDefault="000F69A6" w:rsidP="00A9593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95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выполнение работ, оказание услуг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7.1. В себестоимость услуг по программам обязательного медицинского страхования включаются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затраты согласно методике расчета тарифов из Правил, утвержденных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Минздрава</w:t>
      </w:r>
      <w:r w:rsidRPr="000F69A6">
        <w:rPr>
          <w:rFonts w:hAnsi="Times New Roman" w:cs="Times New Roman"/>
          <w:color w:val="000000"/>
          <w:sz w:val="28"/>
          <w:szCs w:val="28"/>
        </w:rPr>
        <w:t> 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28.02.2019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108н.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7.2. Учет расходов по формированию себестоимости ведется раздельно по группам видов услуг:</w:t>
      </w:r>
    </w:p>
    <w:p w:rsidR="00804A8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А) в рамках выполнения государственного задания «Обеспечение мероприятий, направленных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охрану и укрепление здоровья» – на счете 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4.109.6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.000;</w:t>
      </w:r>
    </w:p>
    <w:p w:rsidR="00804A8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Б) в рамках программ ОМС: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стационарная помощь,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амбулаторно-поликлиническая медицинская помощь – на счете 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7.109.6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.000;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В) в рамках приносящей доход деятельности: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амбулаторно-поликлиническая медицинская помощь – на счете 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2.109.6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.000</w:t>
      </w:r>
      <w:r w:rsidR="00804A8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804A8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7.3. Затраты на оказание услуг (изготовление готовой продукции) делятся на прямые и накладные.</w:t>
      </w:r>
    </w:p>
    <w:p w:rsidR="002C5AF6" w:rsidRPr="00A9593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 ее оказанием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(изготовлением). </w:t>
      </w:r>
      <w:r w:rsidRPr="00A95936">
        <w:rPr>
          <w:rFonts w:hAnsi="Times New Roman" w:cs="Times New Roman"/>
          <w:color w:val="000000"/>
          <w:sz w:val="28"/>
          <w:szCs w:val="28"/>
          <w:lang w:val="ru-RU"/>
        </w:rPr>
        <w:t>В том числе:</w:t>
      </w:r>
    </w:p>
    <w:p w:rsidR="002C5AF6" w:rsidRPr="000F69A6" w:rsidRDefault="000F69A6" w:rsidP="004E4292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затраты на оплату труда и начисления на выплаты по оплате труда сотрудников учреждения, непосредственно участвующих в оказании услуги (изготовлении готовой продукции);</w:t>
      </w:r>
    </w:p>
    <w:p w:rsidR="002C5AF6" w:rsidRPr="000F69A6" w:rsidRDefault="000F69A6" w:rsidP="004E4292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списанные материальные запасы, в том числе медикаменты и перевязочные средства, израсходованные непосредственно на оказание услуги (изготовление готовой продукции), естественная убыль;</w:t>
      </w:r>
    </w:p>
    <w:p w:rsidR="002C5AF6" w:rsidRPr="000F69A6" w:rsidRDefault="000F69A6" w:rsidP="004E4292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переданные в эксплуатацию объекты основных сре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дств ст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оимостью до 10 000 руб. включительно, которые используются при оказании услуги (изготовлении готовой продукции);</w:t>
      </w:r>
    </w:p>
    <w:p w:rsidR="002C5AF6" w:rsidRPr="000F69A6" w:rsidRDefault="000F69A6" w:rsidP="004E4292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сумма амортизации основных средств, которые используются при оказании услуги (изготовлении готовой продукции);</w:t>
      </w:r>
    </w:p>
    <w:p w:rsidR="002C5AF6" w:rsidRPr="000F69A6" w:rsidRDefault="000F69A6" w:rsidP="004E4292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аренду помещений, которые используются для оказания услуги (изготовления готовой продукции);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составе накладных расходов при формировании себестоимости услуг (готовой продукции)</w:t>
      </w:r>
      <w:r w:rsidR="00A959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учитываются расходы:</w:t>
      </w:r>
    </w:p>
    <w:p w:rsidR="002C5AF6" w:rsidRPr="000F69A6" w:rsidRDefault="000F69A6" w:rsidP="004E4292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затраты на оплату труда и начисления на выплаты по оплате труда сотрудников учреждения, участвующих в оказании нескольких видов услуг (готовой продукции);</w:t>
      </w:r>
    </w:p>
    <w:p w:rsidR="002C5AF6" w:rsidRPr="000F69A6" w:rsidRDefault="000F69A6" w:rsidP="004E4292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материальные запасы, израсходованные на нужды учреждения, естественная убыль;</w:t>
      </w:r>
    </w:p>
    <w:p w:rsidR="002C5AF6" w:rsidRPr="000F69A6" w:rsidRDefault="000F69A6" w:rsidP="004E4292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переданные в эксплуатацию объекты основных сре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дств ст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оимостью до 10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000 руб. включительно в случае их использования для оказания нескольких видов услуг (изготовления готовой продукции);</w:t>
      </w:r>
    </w:p>
    <w:p w:rsidR="002C5AF6" w:rsidRPr="000F69A6" w:rsidRDefault="000F69A6" w:rsidP="004E4292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амортизация основных средств, которые используются для оказания разных услуг (изготовления готовой продукции);</w:t>
      </w:r>
    </w:p>
    <w:p w:rsidR="002C5AF6" w:rsidRPr="000F69A6" w:rsidRDefault="000F69A6" w:rsidP="004E4292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расходы, связанные с ремонтом, техническим обслуживанием нефинансовых активов;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7.4. Накладные расходы распределяются на себестоимость услуг (готовой продукции) по окончании месяца пропорционально прямым затратам в месяце распределения к объему выручки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 реализации услуг (готовой продукции).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7.5. В составе общехозяйственных расходов учитываются расходы, распределяемые между всеми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видами услуг (готовой продукции):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оплату труда и начисления на выплаты по оплате труда сотрудников учреждения, не принимающих непосредственного участия в оказании услуги (изготовлении готовой продукции): административно-управленческого, административно-хозяйственного и прочего обслуживающего персонала;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материальные запасы, израсходованные на общехозяйственные нужды учреждения (в том числе в качестве естественной убыли,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пришедшие в негодность) на цели, не связанные напрямую с оказанием услуг (изготовлением готовой продукции);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переданные в эксплуатацию объекты основных сре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дств ст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оимостью до 10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000 руб. включительно на цели, не связанные напрямую с оказанием услуг (изготовлением готовой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продукции);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амортизация основных средств, не связанных напрямую с оказанием услуг (изготовлением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готовой продукции);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коммунальные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расходы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расходы на услуги связи;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расходы на транспортные услуги;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содержание транспорта, зданий, сооружений и инвентаря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общехозяйственного назначения;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расходы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охрану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учреждения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прочие работы и услуги на общехозяйственные нужды.</w:t>
      </w:r>
    </w:p>
    <w:p w:rsidR="00A9593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Общехозяйственные расходы учреждения, произведенные за отчетный период (месяц), распределяются:</w:t>
      </w:r>
      <w:r w:rsidR="00A959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95936" w:rsidRDefault="000F69A6" w:rsidP="00A95936">
      <w:pPr>
        <w:spacing w:before="0" w:beforeAutospacing="0" w:after="0" w:afterAutospacing="0" w:line="276" w:lineRule="auto"/>
        <w:ind w:left="144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в части распределяемых расходов – на себестоимость реализованных услуг (готовой продукции)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пропорционально прямым затратам на единицу услуги (продукции);</w:t>
      </w:r>
    </w:p>
    <w:p w:rsidR="00A95936" w:rsidRDefault="000F69A6" w:rsidP="00A95936">
      <w:pPr>
        <w:spacing w:before="0" w:beforeAutospacing="0" w:after="0" w:afterAutospacing="0" w:line="276" w:lineRule="auto"/>
        <w:ind w:left="144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– в части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нераспределяемых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расходов – на увеличение расходов текущего финансового года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Х.401.20.000).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135 Инструкции к Единому плану счетов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157н.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7.6. Расходами, которые не включаются в себестоимость (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нераспределяемые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расходы) и сразу списываются на финансовый результат (счет 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Х.401.20.000), признаются:</w:t>
      </w:r>
    </w:p>
    <w:p w:rsidR="002C5AF6" w:rsidRPr="000F69A6" w:rsidRDefault="000F69A6" w:rsidP="004E4292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социальное обеспечение населения;</w:t>
      </w:r>
    </w:p>
    <w:p w:rsidR="002C5AF6" w:rsidRPr="000F69A6" w:rsidRDefault="000F69A6" w:rsidP="004E4292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расходы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транспортный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налог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налог на имущество;</w:t>
      </w:r>
    </w:p>
    <w:p w:rsidR="002C5AF6" w:rsidRPr="000F69A6" w:rsidRDefault="000F69A6" w:rsidP="004E4292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штрафы и пени по налогам, штрафы, пени, неустойки за нарушение условий договоров;</w:t>
      </w:r>
    </w:p>
    <w:p w:rsidR="002C5AF6" w:rsidRPr="000F69A6" w:rsidRDefault="000F69A6" w:rsidP="004E4292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амортизация по недвижимому и особо ценному движимому имуществу, которое закреплено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 учреждением или приобретено за счет средств, выделенных учредителем;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7.7. Себестоимость услуг (готовой продукции) за отчетный месяц, сформированная на счете КБК Х.109.60.000, списывается в дебет счета КБК Х.401.10.131 «Доходы от оказания платных услуг (работ)» в последний день месяца за минусом затрат, которые приходятся на незавершенное производство.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7.8. Готовая продукция «Донорская кровь» принимается к учету по плановой себестоимости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дату выпуска.</w:t>
      </w:r>
      <w:r w:rsidR="00A959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122 Инструкции к Единому плану счетов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157н.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7.9.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Доля затрат на незавершенное производство рассчитывается:</w:t>
      </w:r>
    </w:p>
    <w:p w:rsidR="002C5AF6" w:rsidRPr="000F69A6" w:rsidRDefault="000F69A6" w:rsidP="004E4292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части услуг – пропорционально доле незавершенных заказов в общем объеме заказов, выполняемых в течение месяца;</w:t>
      </w:r>
    </w:p>
    <w:p w:rsidR="002C5AF6" w:rsidRPr="000F69A6" w:rsidRDefault="000F69A6" w:rsidP="004E4292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части продукции – пропорционально доле не готовых изделий в общем объеме изделий, изготавливаемых в течение месяца.</w:t>
      </w:r>
    </w:p>
    <w:p w:rsidR="002C5AF6" w:rsidRPr="000F69A6" w:rsidRDefault="000F69A6" w:rsidP="00A9593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135 Инструкции к Единому плану счетов № 157н, пункты 20, 28, 33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СГС «Запасы».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9593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Расчеты с подотчетными лицами</w:t>
      </w:r>
    </w:p>
    <w:p w:rsidR="002C5AF6" w:rsidRPr="0051240B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8.1. Денежные средства выдаются под отчет на основании приказа главного врача или служебной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записки, согласованной с главным врачом. </w:t>
      </w:r>
      <w:r w:rsidRPr="0051240B">
        <w:rPr>
          <w:rFonts w:hAnsi="Times New Roman" w:cs="Times New Roman"/>
          <w:color w:val="000000"/>
          <w:sz w:val="28"/>
          <w:szCs w:val="28"/>
          <w:lang w:val="ru-RU"/>
        </w:rPr>
        <w:t>Выдача денежных средств под отчет производится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51240B">
        <w:rPr>
          <w:rFonts w:hAnsi="Times New Roman" w:cs="Times New Roman"/>
          <w:color w:val="000000"/>
          <w:sz w:val="28"/>
          <w:szCs w:val="28"/>
          <w:lang w:val="ru-RU"/>
        </w:rPr>
        <w:t>путем:</w:t>
      </w:r>
    </w:p>
    <w:p w:rsidR="002C5AF6" w:rsidRPr="000F69A6" w:rsidRDefault="000F69A6" w:rsidP="004E4292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выдачи из кассы. При этом выплаты подотчетных сумм сотрудникам производятся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течение трех рабочих дней, включая день получения денег в банке;</w:t>
      </w:r>
    </w:p>
    <w:p w:rsidR="002C5AF6" w:rsidRPr="000F69A6" w:rsidRDefault="000F69A6" w:rsidP="004E4292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перечисления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зарплатную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карту материально ответственного лица.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Способ выдачи денежных средств указывается в служебной записке или приказе главного врача.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8.2. Учреждение выдает денежные средства под отчет штатным сотрудникам, а также лицам, которые не состоят в штате, на основании отдельного приказа главного врача. Расчеты по выданным суммам проходят в порядке, установленном для штатных сотрудников.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8.3.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Предельная сумма выдачи денежных средств под отчет на хозяйственные расходы устанавливается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размере 20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000 (Двадцать тысяч) руб. На основании распоряжения главного врача в исключительных случаях сумма может быть увеличена, но не более лимита расчетов наличными средствами между юридическими лицами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соответствии с указанием Центрального банка.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4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указаний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ЦБ от 09.12.2019 № 5348-У.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8.4. Денежные средства выдаются под отчет на хозяйственные нужды на срок, который сотрудник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указал в заявлении на выдачу денежных средств под отчет, но не более пяти рабочих дней. 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истечении этого срока сотрудник должен отчитаться в течение трех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рабочих дней.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8.5.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направлении сотрудников учреждения в служебные командировки на территории России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них возмещаются в размере, установленном Порядком оформления служебных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командировок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(</w:t>
      </w:r>
      <w:r w:rsidRPr="004F146B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 w:rsidR="004F146B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). Возмещение расходов на служебные командировки, превышающих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размер, установленный указанным Порядком, производится по фактическим расходам за счет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средств от деятельности, приносящей доход, с разрешения главного врача (оформленного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приказом).</w:t>
      </w:r>
    </w:p>
    <w:p w:rsidR="0051240B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8.6. Предельные сроки отчета по выданным доверенностям на получение материальных ценностей устанавливаются следующие:</w:t>
      </w:r>
    </w:p>
    <w:p w:rsidR="0051240B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в течение 10 календарных дней с момента получения;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– в течение трех рабочих дней с момента получения материальных ценностей.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8.7 Авансовые отчеты брошюруются в хронологическом порядке в последний день отчетного месяца.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51240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Расчеты с дебиторами и кредиторами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9.1. Денежные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(собственные доходы учреждения).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Возмещение в натуральной форме ущерба, причиненного нефинансовым активам, отражается по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коду вида финансового обеспечения (деятельности), по которому активы учитывались.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9.2. Задолженность дебиторов в виде возмещения эксплуатационных и коммунальных расходов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отражается в учете на основании выставленного арендатору счета, счетов поставщиков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(подрядчиков), Бухгалтерской справки (ф. 0504833).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51240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10. Расчеты по обязательствам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10.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Аналитический учет расчетов по пособиям и иным социальным выплатам ведется в разрезе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физических лиц – получателей социальных выплат.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10.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51240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 Дебиторская и кредиторская задолженность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11.1. Дебиторская задолженность списывается с учета после того, как комиссия по поступлению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выбытию активов признает ее сомнительной или безнадежной к взысканию в порядке,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утвержденном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положением о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признании дебиторской задолженности сомнительной и безнадежной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 взысканию.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339 Инструкции к Единому плану счетов № 157н, пункт 11 СГС «Доходы».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11.2.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Одновременно списанная с балансового учета кредиторская задолженность отражается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20 «Задолженность, не востребованная кредиторами».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Порядок принятия решения о списании с балансового 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забалансового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учета утвержден в положении о списании кредиторской задолженности — 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№ </w:t>
      </w:r>
      <w:r w:rsidR="00DD643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371, 372 Инструкции к Единому плану счетов № 157н.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51240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12. Финансовый результат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12.1.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Доходы от предоставления права пользования активом (арендная плата) признается доходами текущего финансового года с одновременным уменьшением предстоящих доходов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равномерно (ежемесячно) на протяжении срока пользования объектом учета аренды.</w:t>
      </w:r>
      <w:r w:rsidRPr="000F69A6">
        <w:rPr>
          <w:sz w:val="28"/>
          <w:szCs w:val="28"/>
          <w:lang w:val="ru-RU"/>
        </w:rPr>
        <w:br/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25 СГС «Аренда», подпункт «а» пункта 55 СГС «Доходы».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12.2. Доходы от оказания платных услуг по долгосрочным договорам (абонементам) признаются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учете в составе доходов будущих периодов в сумме договора. Доходы будущих периодов признаются в текущих доходах равномерно в последний день каждого месяца в разрезе каждого договора (абонемента). Аналогичный порядок признания доходов в текущем периоде применяется к договорам, в соответствии с которыми услуги оказываются неравномерно.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301 Инструкции к Единому плану счетов № 157н,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пункт 11 СГС «Долгосрочные договоры».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12.3. В отношении платных услуг, по которым срок действия договора менее года, а даты начала и окончания исполнения договора приходятся на разные отчетные годы, учреждение применяет положения СГС «Долгосрочные договоры».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Основание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пункт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5 СГС «Долгосрочные договоры».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12.4. Доходы начисляются:</w:t>
      </w:r>
    </w:p>
    <w:p w:rsidR="002C5AF6" w:rsidRPr="000F69A6" w:rsidRDefault="000F69A6" w:rsidP="004E4292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программам ОМС и ДМС – на дату подписания первичного документа со страховой медицинской организацией: акта об оказании услуг, акта сверки и пр.;</w:t>
      </w:r>
    </w:p>
    <w:p w:rsidR="002C5AF6" w:rsidRPr="000F69A6" w:rsidRDefault="000F69A6" w:rsidP="004E4292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 оказания платных услуг, работ – на дату подписания акта оказанных услуг, выполненных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работ;</w:t>
      </w:r>
    </w:p>
    <w:p w:rsidR="002C5AF6" w:rsidRPr="000F69A6" w:rsidRDefault="000F69A6" w:rsidP="004E4292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от сумм принудительного изъятия – на дату направления контрагенту требования об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оплате пеней, штрафа, неустойки;</w:t>
      </w:r>
    </w:p>
    <w:p w:rsidR="002C5AF6" w:rsidRPr="000F69A6" w:rsidRDefault="000F69A6" w:rsidP="004E4292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 возмещения ущерба – на дату обнаружения ущерба на основании ведомости расхождений по результатам инвентаризации (ф. 0504092), на дату оценки ущерба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основании акта комиссии;</w:t>
      </w:r>
    </w:p>
    <w:p w:rsidR="002C5AF6" w:rsidRPr="000F69A6" w:rsidRDefault="000F69A6" w:rsidP="004E4292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 реализации имущества – на дату подписания акта приема-передачи имущества;</w:t>
      </w:r>
    </w:p>
    <w:p w:rsidR="002C5AF6" w:rsidRPr="000F69A6" w:rsidRDefault="000F69A6" w:rsidP="004E4292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 пожертвований – на дату подписания договора о пожертвовании либо на дату поступления имущества и денег, если письменный договор пожертвования не заключался;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12.5. Учреждение осуществляет все расходы в пределах установленных норм и утвержденного на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текущий год плана финансово-хозяйственной деятельности:</w:t>
      </w:r>
    </w:p>
    <w:p w:rsidR="002C5AF6" w:rsidRPr="000F69A6" w:rsidRDefault="000F69A6" w:rsidP="004E4292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междугородные переговоры, услуги по доступу в Интернет – по фактическому расходу;</w:t>
      </w:r>
    </w:p>
    <w:p w:rsidR="002C5AF6" w:rsidRPr="000F69A6" w:rsidRDefault="000F69A6" w:rsidP="004E4292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пользование услугами сотовой связи – по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лимиту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утвержденному распоряжением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учредителя.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12.6. В составе расходов будущих периодов на счете КБК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Х.401.50.000 «Расходы будущих периодов» отражаются:</w:t>
      </w:r>
    </w:p>
    <w:p w:rsidR="002C5AF6" w:rsidRPr="000F69A6" w:rsidRDefault="000F69A6" w:rsidP="004E4292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на страхование имущества, гражданской ответственности;</w:t>
      </w:r>
    </w:p>
    <w:p w:rsidR="002C5AF6" w:rsidRPr="000F69A6" w:rsidRDefault="000F69A6" w:rsidP="004E4292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отпускные, если сотрудник не отработал период, за который предоставили отпуск;</w:t>
      </w:r>
    </w:p>
    <w:p w:rsidR="002C5AF6" w:rsidRPr="000F69A6" w:rsidRDefault="000F69A6" w:rsidP="004E4292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взносы на капремонт многоквартирных домов;</w:t>
      </w:r>
    </w:p>
    <w:p w:rsidR="002C5AF6" w:rsidRPr="000F69A6" w:rsidRDefault="000F69A6" w:rsidP="004E4292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плата за сертификат ключа ЭЦП;</w:t>
      </w:r>
    </w:p>
    <w:p w:rsidR="002C5AF6" w:rsidRPr="000F69A6" w:rsidRDefault="000F69A6" w:rsidP="004E4292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упущенная выгода от сдачи объектов в аренду на льготных условиях;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Расходы будущих периодов списываются на финансовый результат текущего финансового года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равномерно по 1/12 за месяц в течение периода, к которому они относятся. По договорам страхования период, к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которому относятся расходы, равен сроку действия договора. По другим расходам, которые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относятся к будущим периодам, длительность периода устанавливается главным врачом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приказе.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302, 302.1 Инструкции к Единому плану счетов № 157н.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12.7.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право включаются в расходы будущих периодов. Такие расходы списываются на финансовый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результат текущего периода ежемесячно в последний день месяца в течение срока действия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договора.</w:t>
      </w:r>
      <w:r w:rsidR="005124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66 Инструкции к Единому плану счетов № 157н.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12.8. В учреждении создаются резервы по выплатам персоналу, по искам и претензионным требованиям,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обязательствам при приемке результатов контрактов в ЕИС в сфере закупок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гарантийному ремонту, по убыточным договорным обязательствам, на демонтаж основных средств, на оплату обязательств, по которым нет документов, по сомнительным долгам, под снижение стоимости материальных запасов.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12.8.1. Резерв расходов по выплатам отпускных персоналу. Порядок расчета резерва приведен в 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</w:t>
      </w:r>
      <w:r w:rsidR="00DD643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51240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12.8.2. Резерв по искам, претензионным требованиям – в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когда учреждение является стороной судебного разбирательства. 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красное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сторно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12.8.3.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Резерв по обязательствам, возникающим при поступлении товаров, работ,</w:t>
      </w:r>
      <w:r w:rsidR="00A8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услуг, закупка которых осуществляется через ЕИС в сфере закупок,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Датой признания резерва в бухгалтерском учете является дата фактической поставки товара (выполнения работ, оказания услуг)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УПД) и решения комиссии учреждения (ф. 0510441).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Резерв списывается после подписания в ЕИС документа о приемке — при признании затрат и (или) при признании кредиторской задолженности по выполнению обязательства, по которому резерв был создан. Уточнение ранее сформированного резерва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отражается на дату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12.8.4. Резерв по гарантийному ремонту. Определяется на текущий год в первый рабочий день года на основе плановых показателей годовой выручки от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подлежащих гарантийному ремонту изделий.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Величина резерва рассчитывается от суммы плановой выручки, умноженной на коэффициент предельного размера. Коэффициент рассчитывается как соотношение расходов на гарантийный ремонт за предшествующие три года к объему выручки за предшествующие три года.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12.8.5. Резерв по убыточным договорным обязательствам создается, если изменились условия договора по независящим от учреждения причинам, вследствие чего появилась вероятность убыточности заключенного договора. Основание для создания резерва – финансово-экономическое обоснование от планового отдела, доказывающее, что затраты на исполнение договора превышают доход по нему. Сумма резерва равна разнице между предполагаемыми доходами и расходами, увеличенной на сумму санкций по договору. 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12.8.6. Резерв на демонтаж основных средств создается в случае, когда по договору (соглашению) или по законодательству учреждение обязано заплатить за разборку и утилизацию основного средства и восстановить участок, на котором был расположен объект. Величина резерва устанавливается на основании расчета планового отдела о предполагаемых затратах на утилизацию объекта и восстановление участка.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12.8.7. Резерв на оплату обязательств, по которым нет документов, создается в последний рабочий день отчетного квартала в случае, когда на этот день в бухгалтерию не поступили первичные документы от контрагентов. Сумма резерва устанавливается на основании расчета планового отдела. Расчет производится на основании данных о фактически оказанных услугах, выполненных работах или поставленных товарах.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12.8.8. Резерв по сомнительным долгам отражается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04 и равен сумме числящейся на нем дебиторской задолженности. На балансовых счетах резерв не отражается.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302, 302.1 Инструкции к Единому плану счетов № 157н, пункты 7, 21 СГС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«Резервы».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12.9. Доходы от целевых субсидий по соглашению, заключенному на срок более года, учреждение отражает на счетах:</w:t>
      </w:r>
    </w:p>
    <w:p w:rsidR="002C5AF6" w:rsidRPr="000F69A6" w:rsidRDefault="000F69A6" w:rsidP="004E4292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401.41 «Доходы будущих периодов к признанию в текущем году»;</w:t>
      </w:r>
    </w:p>
    <w:p w:rsidR="002C5AF6" w:rsidRPr="000F69A6" w:rsidRDefault="000F69A6" w:rsidP="004E4292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401.49 «Доходы будущих периодов к признанию в очередные годы».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301 Инструкции к Единому плану счетов № 157н.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86F5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13. Санкционирование расходов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Принятие к учету обязательств (денежных обязательств) осуществляется в порядке, приведенном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D6432">
        <w:rPr>
          <w:rFonts w:hAnsi="Times New Roman" w:cs="Times New Roman"/>
          <w:color w:val="000000"/>
          <w:sz w:val="28"/>
          <w:szCs w:val="28"/>
        </w:rPr>
        <w:t> 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>приложении</w:t>
      </w:r>
      <w:r w:rsidRPr="00DD6432">
        <w:rPr>
          <w:rFonts w:hAnsi="Times New Roman" w:cs="Times New Roman"/>
          <w:color w:val="000000"/>
          <w:sz w:val="28"/>
          <w:szCs w:val="28"/>
        </w:rPr>
        <w:t> 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DD6432" w:rsidRPr="00DD643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86F5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14. События после отчетной даты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Признание в учете и раскрытие в бухгалтерской отчетности событий после отчетной даты осуществляется в порядке, приведенном в 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>приложении</w:t>
      </w:r>
      <w:r w:rsidRPr="00DD6432">
        <w:rPr>
          <w:rFonts w:hAnsi="Times New Roman" w:cs="Times New Roman"/>
          <w:color w:val="000000"/>
          <w:sz w:val="28"/>
          <w:szCs w:val="28"/>
        </w:rPr>
        <w:t> 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DD6432" w:rsidRPr="00DD6432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86F5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15. Представительские расходы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15.1. К представительским расходам относятся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сотрудничества, обмена опытом. </w:t>
      </w:r>
      <w:r w:rsidRPr="000F69A6">
        <w:rPr>
          <w:rFonts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именно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расходы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:</w:t>
      </w:r>
    </w:p>
    <w:p w:rsidR="002C5AF6" w:rsidRPr="000F69A6" w:rsidRDefault="000F69A6" w:rsidP="004E4292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 официальный прием или обслуживание: завтрак, обед или иное аналогичное мероприятие для участников мероприятия;</w:t>
      </w:r>
    </w:p>
    <w:p w:rsidR="002C5AF6" w:rsidRPr="000F69A6" w:rsidRDefault="000F69A6" w:rsidP="004E4292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буфетное обслуживание во время мероприятия, в том числе обеспечение питьевой водой, напитками;</w:t>
      </w:r>
    </w:p>
    <w:p w:rsidR="002C5AF6" w:rsidRPr="000F69A6" w:rsidRDefault="000F69A6" w:rsidP="004E4292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участников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канцелярскими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принадлежностями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транспортное обеспечение доставки участников к месту мероприятия и обратно.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15.2. Документами, подтверждающими обоснованность представительских расходов, являются:</w:t>
      </w:r>
    </w:p>
    <w:p w:rsidR="002C5AF6" w:rsidRPr="000F69A6" w:rsidRDefault="000F69A6" w:rsidP="004E4292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приказ главного врача о проведении мероприятия и назначении ответственного за него;</w:t>
      </w:r>
    </w:p>
    <w:p w:rsidR="002C5AF6" w:rsidRPr="000F69A6" w:rsidRDefault="000F69A6" w:rsidP="004E4292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смета предстоящих расходов на мероприятие;</w:t>
      </w:r>
    </w:p>
    <w:p w:rsidR="002C5AF6" w:rsidRPr="000F69A6" w:rsidRDefault="000F69A6" w:rsidP="004E4292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отчет о представительских расходах, составленный сотрудником, ответственным за мероприятие;</w:t>
      </w:r>
    </w:p>
    <w:p w:rsidR="002C5AF6" w:rsidRPr="000F69A6" w:rsidRDefault="000F69A6" w:rsidP="004E4292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первичные документы о произведенных расходах.</w:t>
      </w:r>
    </w:p>
    <w:p w:rsidR="002C5AF6" w:rsidRPr="000F69A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86F5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16. Денежные документы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16.1. В составе денежных документов учитываются:</w:t>
      </w:r>
    </w:p>
    <w:p w:rsidR="002C5AF6" w:rsidRPr="000F69A6" w:rsidRDefault="000F69A6" w:rsidP="004E4292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почтовые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марки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конверты с марками;</w:t>
      </w:r>
    </w:p>
    <w:p w:rsidR="002C5AF6" w:rsidRPr="000F69A6" w:rsidRDefault="000F69A6" w:rsidP="004E4292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талоны на ГСМ и масла;</w:t>
      </w:r>
    </w:p>
    <w:p w:rsidR="002C5AF6" w:rsidRPr="000F69A6" w:rsidRDefault="000F69A6" w:rsidP="004E4292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оплаченные путевки в дома отдыха, санатории, турбазы и пр.;</w:t>
      </w:r>
    </w:p>
    <w:p w:rsidR="002C5AF6" w:rsidRPr="000F69A6" w:rsidRDefault="000F69A6" w:rsidP="004E4292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оформленные на бумажном носителе проездные документы (билеты);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169 Инструкции к Единому плану счетов № 157н.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16.2. 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:rsidR="002C5AF6" w:rsidRPr="000F69A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16.3. Выдача талонов фиксируется в Книге учета движения талонов. Форма книги утверждается учреждением самостоятельно.</w:t>
      </w:r>
    </w:p>
    <w:p w:rsidR="002C5AF6" w:rsidRPr="000F69A6" w:rsidRDefault="000F69A6" w:rsidP="00A86F5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17. Целевые средства</w:t>
      </w:r>
    </w:p>
    <w:p w:rsidR="002C5AF6" w:rsidRDefault="000F69A6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17.1. Расчеты с целевыми поступлениями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17 и целевыми выбытиями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18 ведутся в разрезе контрагентов, уникальных идентификаторов начислений (УИН), кодов целей и правовых оснований, включая дату исполнения.</w:t>
      </w:r>
    </w:p>
    <w:p w:rsidR="00A86F5F" w:rsidRPr="000F69A6" w:rsidRDefault="00A86F5F" w:rsidP="00A86F5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A86F5F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t>VI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Инвентаризация имущества и обязательств</w:t>
      </w:r>
    </w:p>
    <w:p w:rsidR="00B0403B" w:rsidRDefault="000F69A6" w:rsidP="00B040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 Инвентаризацию имущества и обязательств (в том числе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числящихся на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счетах), а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также финансовых результатов (в том числе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</w:t>
      </w:r>
      <w:r w:rsidRPr="00DD6432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</w:t>
      </w:r>
      <w:r w:rsidR="00DD6432">
        <w:rPr>
          <w:rFonts w:hAnsi="Times New Roman" w:cs="Times New Roman"/>
          <w:color w:val="000000"/>
          <w:sz w:val="28"/>
          <w:szCs w:val="28"/>
          <w:lang w:val="ru-RU"/>
        </w:rPr>
        <w:t>13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B040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отдельных случаях (при смене материально ответственных лиц, выявлении фактов хищения,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стихийных бедствиях и т.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д.) инвентаризацию может проводить специально созданная рабочая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комиссия, состав которой утверждается отельным приказом главного врача.</w:t>
      </w:r>
      <w:r w:rsidR="00B0403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Основание: статья 11 Закона от 06.12.2011 № 402-ФЗ, раздел </w:t>
      </w:r>
      <w:r w:rsidRPr="000F69A6">
        <w:rPr>
          <w:rFonts w:hAnsi="Times New Roman" w:cs="Times New Roman"/>
          <w:color w:val="000000"/>
          <w:sz w:val="28"/>
          <w:szCs w:val="28"/>
        </w:rPr>
        <w:t>VIII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СГС «Концептуальные основы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бухучета и отчетности».</w:t>
      </w:r>
    </w:p>
    <w:p w:rsidR="002C5AF6" w:rsidRPr="000F69A6" w:rsidRDefault="000F69A6" w:rsidP="00B040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2. Состав комиссии для проведения внезапной ревизии кассы приведен в </w:t>
      </w:r>
      <w:r w:rsidRPr="004E4292">
        <w:rPr>
          <w:rFonts w:hAnsi="Times New Roman" w:cs="Times New Roman"/>
          <w:color w:val="000000"/>
          <w:sz w:val="28"/>
          <w:szCs w:val="28"/>
          <w:lang w:val="ru-RU"/>
        </w:rPr>
        <w:t>приложении</w:t>
      </w:r>
      <w:r w:rsidRPr="004E4292">
        <w:rPr>
          <w:rFonts w:hAnsi="Times New Roman" w:cs="Times New Roman"/>
          <w:color w:val="000000"/>
          <w:sz w:val="28"/>
          <w:szCs w:val="28"/>
        </w:rPr>
        <w:t> </w:t>
      </w:r>
      <w:r w:rsidR="004E4292" w:rsidRPr="004E4292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4E4292">
        <w:rPr>
          <w:rFonts w:hAnsi="Times New Roman" w:cs="Times New Roman"/>
          <w:color w:val="000000"/>
          <w:sz w:val="28"/>
          <w:szCs w:val="28"/>
          <w:lang w:val="ru-RU"/>
        </w:rPr>
        <w:t>4.</w:t>
      </w:r>
    </w:p>
    <w:p w:rsidR="00B0403B" w:rsidRDefault="00B0403B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403B" w:rsidRDefault="000F69A6" w:rsidP="00B0403B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t>VII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Порядок организации и обеспечения</w:t>
      </w:r>
    </w:p>
    <w:p w:rsidR="002C5AF6" w:rsidRPr="000F69A6" w:rsidRDefault="000F69A6" w:rsidP="00B0403B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внутреннего финансового контроля</w:t>
      </w:r>
    </w:p>
    <w:p w:rsidR="002C5AF6" w:rsidRPr="000F69A6" w:rsidRDefault="000F69A6" w:rsidP="00B040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 Внутренний финансовый контроль в учреждении осуществляет комиссия. Помимо комиссии,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постоянный текущий контроль в ходе своей деятельности осуществляют в рамках своих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полномочий:</w:t>
      </w:r>
    </w:p>
    <w:p w:rsidR="002C5AF6" w:rsidRPr="000F69A6" w:rsidRDefault="000F69A6" w:rsidP="004E4292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главный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врач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его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заместители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главный бухгалтер, сотрудники бухгалтерии;</w:t>
      </w:r>
    </w:p>
    <w:p w:rsidR="002C5AF6" w:rsidRPr="000F69A6" w:rsidRDefault="000F69A6" w:rsidP="004E4292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начальник планово-экономического отдела, сотрудники отдела;</w:t>
      </w:r>
    </w:p>
    <w:p w:rsidR="002C5AF6" w:rsidRPr="000F69A6" w:rsidRDefault="000F69A6" w:rsidP="004E4292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начальник юридического отдела, сотрудники отдела;</w:t>
      </w:r>
    </w:p>
    <w:p w:rsidR="002C5AF6" w:rsidRPr="000F69A6" w:rsidRDefault="000F69A6" w:rsidP="004E4292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иные должностные лица учреждения в соответствии со своими обязанностями.</w:t>
      </w:r>
    </w:p>
    <w:p w:rsidR="002C5AF6" w:rsidRDefault="000F69A6" w:rsidP="00B040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2. Положение о внутреннем финансовом контроле и график проведения внутренних проверок финансово-хозяйственной деятельности приведен в </w:t>
      </w:r>
      <w:r w:rsidRPr="004E4292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</w:t>
      </w:r>
      <w:r w:rsidR="004E4292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0403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6 Инструкции к Единому плану счетов № 157н.</w:t>
      </w:r>
    </w:p>
    <w:p w:rsidR="00B0403B" w:rsidRPr="000F69A6" w:rsidRDefault="00B0403B" w:rsidP="00B040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B0403B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</w:rPr>
        <w:lastRenderedPageBreak/>
        <w:t>VIII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 Бухгалтерская (финансовая) отчетность</w:t>
      </w:r>
    </w:p>
    <w:p w:rsidR="002C5AF6" w:rsidRPr="000F69A6" w:rsidRDefault="00B144EC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0F69A6" w:rsidRPr="000F69A6">
        <w:rPr>
          <w:rFonts w:hAnsi="Times New Roman" w:cs="Times New Roman"/>
          <w:color w:val="000000"/>
          <w:sz w:val="28"/>
          <w:szCs w:val="28"/>
          <w:lang w:val="ru-RU"/>
        </w:rPr>
        <w:t>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</w:t>
      </w:r>
      <w:r w:rsidR="000F69A6" w:rsidRPr="000F69A6">
        <w:rPr>
          <w:rFonts w:hAnsi="Times New Roman" w:cs="Times New Roman"/>
          <w:color w:val="000000"/>
          <w:sz w:val="28"/>
          <w:szCs w:val="28"/>
        </w:rPr>
        <w:t> </w:t>
      </w:r>
      <w:r w:rsidR="000F69A6" w:rsidRPr="000F69A6">
        <w:rPr>
          <w:rFonts w:hAnsi="Times New Roman" w:cs="Times New Roman"/>
          <w:color w:val="000000"/>
          <w:sz w:val="28"/>
          <w:szCs w:val="28"/>
          <w:lang w:val="ru-RU"/>
        </w:rPr>
        <w:t>учреждения от всех видов деятельности и их оттоками.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19 СГС «Отчет о движении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денежных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средств».</w:t>
      </w:r>
    </w:p>
    <w:p w:rsidR="002C5AF6" w:rsidRPr="000F69A6" w:rsidRDefault="00B144EC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0F69A6" w:rsidRPr="000F69A6">
        <w:rPr>
          <w:rFonts w:hAnsi="Times New Roman" w:cs="Times New Roman"/>
          <w:color w:val="000000"/>
          <w:sz w:val="28"/>
          <w:szCs w:val="28"/>
          <w:lang w:val="ru-RU"/>
        </w:rPr>
        <w:t>. Бухгалтерская отчетность формируется и хранится в виде электронного документа в информационной системе «Бюджет». Бумажная копия комплекта отчетности хранится у главного</w:t>
      </w:r>
      <w:r w:rsidR="000F69A6" w:rsidRPr="000F69A6">
        <w:rPr>
          <w:rFonts w:hAnsi="Times New Roman" w:cs="Times New Roman"/>
          <w:color w:val="000000"/>
          <w:sz w:val="28"/>
          <w:szCs w:val="28"/>
        </w:rPr>
        <w:t> </w:t>
      </w:r>
      <w:r w:rsidR="000F69A6" w:rsidRPr="000F69A6">
        <w:rPr>
          <w:rFonts w:hAnsi="Times New Roman" w:cs="Times New Roman"/>
          <w:color w:val="000000"/>
          <w:sz w:val="28"/>
          <w:szCs w:val="28"/>
          <w:lang w:val="ru-RU"/>
        </w:rPr>
        <w:t>бухгалтера.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часть 7.1 статьи 13 Закона 06.12.2011 №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402-ФЗ.</w:t>
      </w:r>
    </w:p>
    <w:p w:rsidR="002C5AF6" w:rsidRPr="000F69A6" w:rsidRDefault="00B144EC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F69A6"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0F69A6" w:rsidRPr="000F69A6">
        <w:rPr>
          <w:rFonts w:hAnsi="Times New Roman" w:cs="Times New Roman"/>
          <w:color w:val="000000"/>
          <w:sz w:val="28"/>
          <w:szCs w:val="28"/>
          <w:lang w:val="ru-RU"/>
        </w:rPr>
        <w:t>В целях раскрытия в годовой бухгалтерской отчетности информации о юридических и физических лицах, на деятельность которых учреждение способно оказывать влияние или которые способны оказывать влияние на деятельность учреждения (далее – связанные стороны), а также об операциях со связанными сторонами сотрудник, назначенный приказом руководителя, представляет в бухгалтерию состав связанных сторон на 1 января года, следующего за отчетным.</w:t>
      </w:r>
      <w:proofErr w:type="gramEnd"/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Срок представления информации – не позднее первого рабочего дня года, следующего за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отчетным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7, 8 СГС «Информация о связанных сторонах».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Информацию с составом связанных сторон ответственный сотрудник представляет в свободной форме, с указанием следующих реквизитов:</w:t>
      </w:r>
    </w:p>
    <w:p w:rsidR="002C5AF6" w:rsidRPr="000F69A6" w:rsidRDefault="000F69A6" w:rsidP="004E4292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полное наименование юридического лица или фамилия, имя, отчество (если имеется) физического лица, являющегося связанной стороной;</w:t>
      </w:r>
    </w:p>
    <w:p w:rsidR="002C5AF6" w:rsidRPr="000F69A6" w:rsidRDefault="000F69A6" w:rsidP="004E4292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 xml:space="preserve">ИНН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связанной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стороны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тип организации. Для физического лица указывается «физическое лицо»;</w:t>
      </w:r>
    </w:p>
    <w:p w:rsidR="002C5AF6" w:rsidRPr="000F69A6" w:rsidRDefault="000F69A6" w:rsidP="004E4292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основание, в силу которого лицо признается связанной стороной (исключается из состава связанных сторон);</w:t>
      </w:r>
    </w:p>
    <w:p w:rsidR="002C5AF6" w:rsidRPr="000F69A6" w:rsidRDefault="000F69A6" w:rsidP="004E4292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дата включения (исключения) в перечень связанных сторон. Дата указывается в формате «ММ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.Г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ГГГ».</w:t>
      </w:r>
    </w:p>
    <w:p w:rsidR="002C5AF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года, следующего за </w:t>
      </w:r>
      <w:proofErr w:type="gramStart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отчетным</w:t>
      </w:r>
      <w:proofErr w:type="gramEnd"/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144EC" w:rsidRDefault="00B144EC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144EC" w:rsidRDefault="00B144EC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144EC" w:rsidRPr="000F69A6" w:rsidRDefault="00B144EC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B144EC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proofErr w:type="gramStart"/>
      <w:r w:rsidRPr="000F69A6">
        <w:rPr>
          <w:b/>
          <w:bCs/>
          <w:color w:val="252525"/>
          <w:spacing w:val="-2"/>
          <w:sz w:val="28"/>
          <w:szCs w:val="28"/>
        </w:rPr>
        <w:lastRenderedPageBreak/>
        <w:t>IX</w:t>
      </w:r>
      <w:r w:rsidR="00B144EC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.</w:t>
      </w:r>
      <w:proofErr w:type="gramEnd"/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 xml:space="preserve"> Порядок передачи документов бухгалтерского учета</w:t>
      </w:r>
    </w:p>
    <w:p w:rsidR="002C5AF6" w:rsidRPr="000F69A6" w:rsidRDefault="000F69A6" w:rsidP="00B144EC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F69A6">
        <w:rPr>
          <w:b/>
          <w:bCs/>
          <w:color w:val="252525"/>
          <w:spacing w:val="-2"/>
          <w:sz w:val="28"/>
          <w:szCs w:val="28"/>
          <w:lang w:val="ru-RU"/>
        </w:rPr>
        <w:t>при смене главного врача и главного бухгалтера</w:t>
      </w:r>
    </w:p>
    <w:p w:rsidR="00B144EC" w:rsidRDefault="00B144EC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1. При смене главного врача или главного бухгалтера учреждения (далее – увольняемые лица) они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2. Передача бухгалтерских документов и печатей проводится на основании приказа главного врача или Министерства здравоохранения области, осуществляющего функции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полномочия учредителя (далее – учредитель).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3. Передача документов бухучета, печатей и штампов осуществляется при участии комиссии, создаваемой в учреждении, с составлением акта приема-передачи.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Прием-передача бухгалтерских документов оформляется актом приема-передачи. К акту прилагается перечень передаваемых документов, с указанием их количества и типа.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 приема-передачи дел должен полностью отражать все существенные недостатки и нарушения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 организации работы бухгалтерии.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члены комиссии включают в акт свои рекомендации и предложения, которые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возникли при приеме-передаче дел.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4. В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комиссию, указанную в пункте 3 настоящего Порядка, включаются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сотрудники учреждения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(или) учредителя, в соответствии с приказом на передачу бухгалтерских документов.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5. Передаются следующие документы: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учетная политика со всеми приложениями;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квартальные и годовые бухгалтерские отчеты и балансы, налоговые декларации;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налоговые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регистры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 задолженности учреждения, в том числе по кредитам и по уплате налогов;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 состоянии лицевых и банковских счетов учреждения;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 выполнении утвержденного государственного задания;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учету зарплаты и по персонифицированному учету;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по кассе: кассовые книги, журналы, расходные и приходные кассовые ордера, денежные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документы и т. д.;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об условиях хранения и учета наличных денежных средств;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договоры с поставщиками и подрядчиками, контрагентами, аренды и т. д.;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договоры с покупателями услуг и работ, подрядчиками и поставщиками;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об основных средствах, нематериальных активах и товарно-материальных ценностях;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исчерпывающей характеристикой по каждой сумме;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акты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ревизий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проверок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договоры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кредитными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69A6">
        <w:rPr>
          <w:rFonts w:hAnsi="Times New Roman" w:cs="Times New Roman"/>
          <w:color w:val="000000"/>
          <w:sz w:val="28"/>
          <w:szCs w:val="28"/>
        </w:rPr>
        <w:t>организациями</w:t>
      </w:r>
      <w:proofErr w:type="spellEnd"/>
      <w:r w:rsidRPr="000F69A6">
        <w:rPr>
          <w:rFonts w:hAnsi="Times New Roman" w:cs="Times New Roman"/>
          <w:color w:val="000000"/>
          <w:sz w:val="28"/>
          <w:szCs w:val="28"/>
        </w:rPr>
        <w:t>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F69A6">
        <w:rPr>
          <w:rFonts w:hAnsi="Times New Roman" w:cs="Times New Roman"/>
          <w:color w:val="000000"/>
          <w:sz w:val="28"/>
          <w:szCs w:val="28"/>
        </w:rPr>
        <w:t>бланки строгой отчетности;</w:t>
      </w:r>
    </w:p>
    <w:p w:rsidR="002C5AF6" w:rsidRPr="000F69A6" w:rsidRDefault="000F69A6" w:rsidP="004E4292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иная бухгалтерская документация, свидетельствующая о деятельности учреждения.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6. При подписании акта приема-передачи при наличии возражений по пунктам акта главный врач и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(или) уполномоченное лицо излагают их в письменной форме в присутствии комиссии.</w:t>
      </w:r>
    </w:p>
    <w:p w:rsidR="002C5AF6" w:rsidRPr="000F69A6" w:rsidRDefault="000F69A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7. Акт приема-передачи оформляется в последний рабочий день увольняемого лица в учреждении.</w:t>
      </w:r>
    </w:p>
    <w:p w:rsidR="002C5AF6" w:rsidRPr="000F69A6" w:rsidRDefault="000F69A6" w:rsidP="00B144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8. Акт приема-передачи дел составляется в трех экземплярах: 1-й экземпляр – учредителю (главному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 xml:space="preserve"> врачу, если увольняется главный бухгалтер), 2-й экземпляр – увольняемому</w:t>
      </w:r>
      <w:r w:rsidRPr="000F69A6">
        <w:rPr>
          <w:rFonts w:hAnsi="Times New Roman" w:cs="Times New Roman"/>
          <w:color w:val="000000"/>
          <w:sz w:val="28"/>
          <w:szCs w:val="28"/>
        </w:rPr>
        <w:t> </w:t>
      </w:r>
      <w:r w:rsidRPr="000F69A6">
        <w:rPr>
          <w:rFonts w:hAnsi="Times New Roman" w:cs="Times New Roman"/>
          <w:color w:val="000000"/>
          <w:sz w:val="28"/>
          <w:szCs w:val="28"/>
          <w:lang w:val="ru-RU"/>
        </w:rPr>
        <w:t>лицу, 3-й экземпляр – уполномоченному лицу, которое принимало дела.</w:t>
      </w:r>
    </w:p>
    <w:p w:rsidR="002C5AF6" w:rsidRDefault="002C5AF6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144EC" w:rsidRPr="000F69A6" w:rsidRDefault="00B144EC" w:rsidP="000F69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F69A6" w:rsidRPr="00B144EC" w:rsidRDefault="00B144EC" w:rsidP="00B144EC">
      <w:pPr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М.Г.Елисеев</w:t>
      </w:r>
    </w:p>
    <w:sectPr w:rsidR="000F69A6" w:rsidRPr="00B144EC" w:rsidSect="000F69A6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00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D7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D6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F7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22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77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65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7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95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66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75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A1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75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225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9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21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90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FB1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254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54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335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B7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23">
    <w:nsid w:val="49BC6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F6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51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2D3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167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1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C80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1C0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C81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FE2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46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97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5B3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50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B42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860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F5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B20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41">
    <w:nsid w:val="6C6C4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1B6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836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8E5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45">
    <w:nsid w:val="76586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  <w:sz w:val="20"/>
      </w:rPr>
    </w:lvl>
  </w:abstractNum>
  <w:abstractNum w:abstractNumId="46">
    <w:nsid w:val="79660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29"/>
  </w:num>
  <w:num w:numId="4">
    <w:abstractNumId w:val="2"/>
  </w:num>
  <w:num w:numId="5">
    <w:abstractNumId w:val="23"/>
  </w:num>
  <w:num w:numId="6">
    <w:abstractNumId w:val="45"/>
  </w:num>
  <w:num w:numId="7">
    <w:abstractNumId w:val="36"/>
  </w:num>
  <w:num w:numId="8">
    <w:abstractNumId w:val="9"/>
  </w:num>
  <w:num w:numId="9">
    <w:abstractNumId w:val="31"/>
  </w:num>
  <w:num w:numId="10">
    <w:abstractNumId w:val="5"/>
  </w:num>
  <w:num w:numId="11">
    <w:abstractNumId w:val="12"/>
  </w:num>
  <w:num w:numId="12">
    <w:abstractNumId w:val="30"/>
  </w:num>
  <w:num w:numId="13">
    <w:abstractNumId w:val="21"/>
  </w:num>
  <w:num w:numId="14">
    <w:abstractNumId w:val="6"/>
  </w:num>
  <w:num w:numId="15">
    <w:abstractNumId w:val="24"/>
  </w:num>
  <w:num w:numId="16">
    <w:abstractNumId w:val="37"/>
  </w:num>
  <w:num w:numId="17">
    <w:abstractNumId w:val="43"/>
  </w:num>
  <w:num w:numId="18">
    <w:abstractNumId w:val="19"/>
  </w:num>
  <w:num w:numId="19">
    <w:abstractNumId w:val="44"/>
  </w:num>
  <w:num w:numId="20">
    <w:abstractNumId w:val="16"/>
  </w:num>
  <w:num w:numId="21">
    <w:abstractNumId w:val="4"/>
  </w:num>
  <w:num w:numId="22">
    <w:abstractNumId w:val="13"/>
  </w:num>
  <w:num w:numId="23">
    <w:abstractNumId w:val="35"/>
  </w:num>
  <w:num w:numId="24">
    <w:abstractNumId w:val="18"/>
  </w:num>
  <w:num w:numId="25">
    <w:abstractNumId w:val="3"/>
  </w:num>
  <w:num w:numId="26">
    <w:abstractNumId w:val="39"/>
  </w:num>
  <w:num w:numId="27">
    <w:abstractNumId w:val="33"/>
  </w:num>
  <w:num w:numId="28">
    <w:abstractNumId w:val="40"/>
  </w:num>
  <w:num w:numId="29">
    <w:abstractNumId w:val="42"/>
  </w:num>
  <w:num w:numId="30">
    <w:abstractNumId w:val="15"/>
  </w:num>
  <w:num w:numId="31">
    <w:abstractNumId w:val="38"/>
  </w:num>
  <w:num w:numId="32">
    <w:abstractNumId w:val="34"/>
  </w:num>
  <w:num w:numId="33">
    <w:abstractNumId w:val="28"/>
  </w:num>
  <w:num w:numId="34">
    <w:abstractNumId w:val="25"/>
  </w:num>
  <w:num w:numId="35">
    <w:abstractNumId w:val="11"/>
  </w:num>
  <w:num w:numId="36">
    <w:abstractNumId w:val="22"/>
  </w:num>
  <w:num w:numId="37">
    <w:abstractNumId w:val="32"/>
  </w:num>
  <w:num w:numId="38">
    <w:abstractNumId w:val="1"/>
  </w:num>
  <w:num w:numId="39">
    <w:abstractNumId w:val="26"/>
  </w:num>
  <w:num w:numId="40">
    <w:abstractNumId w:val="41"/>
  </w:num>
  <w:num w:numId="41">
    <w:abstractNumId w:val="7"/>
  </w:num>
  <w:num w:numId="42">
    <w:abstractNumId w:val="46"/>
  </w:num>
  <w:num w:numId="43">
    <w:abstractNumId w:val="17"/>
  </w:num>
  <w:num w:numId="44">
    <w:abstractNumId w:val="10"/>
  </w:num>
  <w:num w:numId="45">
    <w:abstractNumId w:val="27"/>
  </w:num>
  <w:num w:numId="46">
    <w:abstractNumId w:val="20"/>
  </w:num>
  <w:num w:numId="47">
    <w:abstractNumId w:val="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6CB"/>
    <w:rsid w:val="000C7E6D"/>
    <w:rsid w:val="000F2CF7"/>
    <w:rsid w:val="000F69A6"/>
    <w:rsid w:val="0010008C"/>
    <w:rsid w:val="00120A31"/>
    <w:rsid w:val="002C4BE3"/>
    <w:rsid w:val="002C5AF6"/>
    <w:rsid w:val="002D33B1"/>
    <w:rsid w:val="002D3591"/>
    <w:rsid w:val="00343DEE"/>
    <w:rsid w:val="003514A0"/>
    <w:rsid w:val="004E4292"/>
    <w:rsid w:val="004F146B"/>
    <w:rsid w:val="004F7E17"/>
    <w:rsid w:val="005076BB"/>
    <w:rsid w:val="0051240B"/>
    <w:rsid w:val="005A05CE"/>
    <w:rsid w:val="00653AF6"/>
    <w:rsid w:val="00682AFB"/>
    <w:rsid w:val="007F1520"/>
    <w:rsid w:val="00804A86"/>
    <w:rsid w:val="008476D8"/>
    <w:rsid w:val="00912D5E"/>
    <w:rsid w:val="009E166C"/>
    <w:rsid w:val="00A50832"/>
    <w:rsid w:val="00A70D95"/>
    <w:rsid w:val="00A86F5F"/>
    <w:rsid w:val="00A95936"/>
    <w:rsid w:val="00B0403B"/>
    <w:rsid w:val="00B144EC"/>
    <w:rsid w:val="00B73A5A"/>
    <w:rsid w:val="00DD643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4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8B74-425D-4478-AE6E-3D9BF0FD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41</Pages>
  <Words>12036</Words>
  <Characters>68610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dc:description>Подготовлено экспертами Актион-МЦФЭР</dc:description>
  <cp:lastModifiedBy>Glavbuh</cp:lastModifiedBy>
  <cp:revision>11</cp:revision>
  <dcterms:created xsi:type="dcterms:W3CDTF">2023-11-08T10:43:00Z</dcterms:created>
  <dcterms:modified xsi:type="dcterms:W3CDTF">2023-11-09T10:54:00Z</dcterms:modified>
</cp:coreProperties>
</file>